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/>
      </w:pPr>
      <w:bookmarkStart w:id="0" w:name="_Toc464145422"/>
      <w:bookmarkStart w:id="1" w:name="_Toc464145461"/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485900" cy="627380"/>
            <wp:effectExtent l="0" t="0" r="0" b="1270"/>
            <wp:wrapNone/>
            <wp:docPr id="185" name="图片 7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77" descr="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20" w:after="120"/>
      </w:pPr>
    </w:p>
    <w:p>
      <w:pPr>
        <w:pStyle w:val="14"/>
        <w:rPr>
          <w:rFonts w:ascii="等线 Light" w:hAnsi="等线 Light"/>
          <w:sz w:val="44"/>
          <w:szCs w:val="48"/>
        </w:rPr>
      </w:pPr>
    </w:p>
    <w:p/>
    <w:p>
      <w:pPr>
        <w:pStyle w:val="14"/>
        <w:rPr>
          <w:rFonts w:ascii="等线 Light" w:hAnsi="等线 Light"/>
          <w:sz w:val="44"/>
          <w:szCs w:val="48"/>
        </w:rPr>
      </w:pPr>
      <w:bookmarkStart w:id="2" w:name="_Toc497394747"/>
      <w:bookmarkStart w:id="3" w:name="_Toc516756408"/>
      <w:r>
        <w:rPr>
          <w:rFonts w:hint="eastAsia" w:ascii="等线 Light" w:hAnsi="等线 Light"/>
          <w:sz w:val="44"/>
          <w:szCs w:val="48"/>
        </w:rPr>
        <w:t>重庆工商大学资产管理系统</w:t>
      </w:r>
      <w:bookmarkEnd w:id="2"/>
      <w:bookmarkEnd w:id="3"/>
    </w:p>
    <w:p>
      <w:pPr>
        <w:pStyle w:val="14"/>
        <w:rPr>
          <w:rFonts w:ascii="等线 Light" w:hAnsi="等线 Light"/>
          <w:sz w:val="44"/>
          <w:szCs w:val="48"/>
        </w:rPr>
      </w:pPr>
      <w:bookmarkStart w:id="4" w:name="_Toc497394748"/>
      <w:bookmarkStart w:id="5" w:name="_Toc516756409"/>
      <w:r>
        <w:rPr>
          <w:rFonts w:hint="eastAsia" w:ascii="等线 Light" w:hAnsi="等线 Light"/>
          <w:sz w:val="44"/>
          <w:szCs w:val="48"/>
        </w:rPr>
        <w:t>操作手册</w:t>
      </w:r>
      <w:bookmarkEnd w:id="4"/>
      <w:bookmarkEnd w:id="5"/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5257800" cy="0"/>
                <wp:effectExtent l="0" t="0" r="0" b="0"/>
                <wp:wrapNone/>
                <wp:docPr id="186" name="直线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80" o:spid="_x0000_s1026" o:spt="20" style="position:absolute;left:0pt;margin-left:0pt;margin-top:11.4pt;height:0pt;width:414pt;z-index:251793408;mso-width-relative:page;mso-height-relative:page;" filled="f" stroked="t" coordsize="21600,21600" o:gfxdata="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QbA+Q0gAAAAYBAAAPAAAAAAAAAAEAIAAAACIAAABkcnMvZG93bnJldi54bWxQ&#10;SwECFAAUAAAACACHTuJAX2c0WcQBAACEAwAADgAAAAAAAAABACAAAAAhAQAAZHJzL2Uyb0RvYy54&#10;bWxQSwUGAAAAAAYABgBZAQAAV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before="156" w:after="156"/>
        <w:rPr>
          <w:rFonts w:ascii="宋体" w:hAnsi="宋体"/>
        </w:rPr>
      </w:pPr>
      <w:r>
        <w:rPr>
          <w:rFonts w:hint="eastAsia" w:ascii="宋体" w:hAnsi="宋体"/>
        </w:rPr>
        <w:t>重庆久其软件有限公司</w:t>
      </w:r>
    </w:p>
    <w:p>
      <w:pPr>
        <w:spacing w:before="156" w:after="156"/>
        <w:rPr>
          <w:rFonts w:ascii="宋体" w:hAnsi="宋体"/>
        </w:rPr>
      </w:pPr>
      <w:r>
        <w:rPr>
          <w:rFonts w:ascii="宋体" w:hAnsi="宋体"/>
        </w:rPr>
        <w:t>总机：</w:t>
      </w:r>
      <w:r>
        <w:rPr>
          <w:rFonts w:hint="eastAsia" w:ascii="宋体" w:hAnsi="宋体"/>
        </w:rPr>
        <w:t xml:space="preserve">023-63118697   </w:t>
      </w:r>
      <w:r>
        <w:rPr>
          <w:rFonts w:ascii="宋体" w:hAnsi="宋体"/>
        </w:rPr>
        <w:t>传真：0</w:t>
      </w:r>
      <w:r>
        <w:rPr>
          <w:rFonts w:hint="eastAsia" w:ascii="宋体" w:hAnsi="宋体"/>
        </w:rPr>
        <w:t>23</w:t>
      </w:r>
      <w:r>
        <w:rPr>
          <w:rFonts w:ascii="宋体" w:hAnsi="宋体"/>
        </w:rPr>
        <w:t>-</w:t>
      </w:r>
      <w:r>
        <w:rPr>
          <w:rFonts w:hint="eastAsia" w:ascii="宋体" w:hAnsi="宋体"/>
        </w:rPr>
        <w:t>63118697-999</w:t>
      </w:r>
    </w:p>
    <w:p>
      <w:pPr>
        <w:spacing w:before="120" w:after="120"/>
      </w:pPr>
      <w:r>
        <w:t>邮　　箱：</w:t>
      </w:r>
      <w:r>
        <w:fldChar w:fldCharType="begin"/>
      </w:r>
      <w:r>
        <w:instrText xml:space="preserve"> HYPERLINK "mailto:jiuqi@jiuqi.com.cn" </w:instrText>
      </w:r>
      <w:r>
        <w:fldChar w:fldCharType="separate"/>
      </w:r>
      <w:r>
        <w:rPr>
          <w:rStyle w:val="16"/>
        </w:rPr>
        <w:t>jiuqi@jiuqi.com.cn</w:t>
      </w:r>
      <w:r>
        <w:rPr>
          <w:rStyle w:val="16"/>
        </w:rPr>
        <w:fldChar w:fldCharType="end"/>
      </w:r>
      <w:r>
        <w:t xml:space="preserve">  </w:t>
      </w:r>
    </w:p>
    <w:p>
      <w:pPr>
        <w:spacing w:before="120" w:after="120"/>
      </w:pPr>
      <w:r>
        <w:t>公司网址：</w:t>
      </w:r>
      <w:r>
        <w:fldChar w:fldCharType="begin"/>
      </w:r>
      <w:r>
        <w:instrText xml:space="preserve"> HYPERLINK "http://www.jiuqi.com.cn" </w:instrText>
      </w:r>
      <w:r>
        <w:fldChar w:fldCharType="separate"/>
      </w:r>
      <w:r>
        <w:rPr>
          <w:rStyle w:val="16"/>
        </w:rPr>
        <w:t>www.jiuqi.com.cn</w:t>
      </w:r>
      <w:r>
        <w:rPr>
          <w:rStyle w:val="16"/>
        </w:rPr>
        <w:br w:type="page"/>
      </w:r>
      <w:r>
        <w:rPr>
          <w:rStyle w:val="16"/>
        </w:rPr>
        <w:fldChar w:fldCharType="end"/>
      </w:r>
    </w:p>
    <w:p>
      <w:pPr>
        <w:spacing w:before="120" w:after="120"/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9718095"/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32"/>
            <w:jc w:val="center"/>
            <w:rPr>
              <w:rFonts w:asciiTheme="minorHAnsi" w:hAnsiTheme="minorHAnsi" w:eastAsiaTheme="minorEastAsia" w:cstheme="minorBidi"/>
              <w:kern w:val="44"/>
              <w:sz w:val="48"/>
              <w:szCs w:val="48"/>
            </w:rPr>
          </w:pPr>
          <w:r>
            <w:rPr>
              <w:rStyle w:val="31"/>
              <w:rFonts w:hint="eastAsia"/>
              <w:b/>
              <w:bCs/>
              <w:lang w:val="zh-CN"/>
            </w:rPr>
            <w:t>目录</w:t>
          </w:r>
        </w:p>
        <w:p>
          <w:pPr>
            <w:pStyle w:val="12"/>
            <w:tabs>
              <w:tab w:val="right" w:leader="dot" w:pos="9488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"_Toc516756408" </w:instrText>
          </w:r>
          <w:r>
            <w:fldChar w:fldCharType="separate"/>
          </w:r>
          <w:r>
            <w:rPr>
              <w:rStyle w:val="16"/>
              <w:rFonts w:hint="eastAsia" w:ascii="等线 Light" w:hAnsi="等线 Light"/>
            </w:rPr>
            <w:t>重庆工商大学资产管理系统</w:t>
          </w:r>
          <w:r>
            <w:tab/>
          </w:r>
          <w:r>
            <w:fldChar w:fldCharType="begin"/>
          </w:r>
          <w:r>
            <w:instrText xml:space="preserve"> PAGEREF _Toc516756408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"_Toc516756409" </w:instrText>
          </w:r>
          <w:r>
            <w:fldChar w:fldCharType="separate"/>
          </w:r>
          <w:r>
            <w:rPr>
              <w:rStyle w:val="16"/>
              <w:rFonts w:hint="eastAsia" w:ascii="等线 Light" w:hAnsi="等线 Light"/>
            </w:rPr>
            <w:t>操作手册</w:t>
          </w:r>
          <w:r>
            <w:tab/>
          </w:r>
          <w:r>
            <w:fldChar w:fldCharType="begin"/>
          </w:r>
          <w:r>
            <w:instrText xml:space="preserve"> PAGEREF _Toc516756409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"_Toc516756410" </w:instrText>
          </w:r>
          <w:r>
            <w:fldChar w:fldCharType="separate"/>
          </w:r>
          <w:r>
            <w:rPr>
              <w:rStyle w:val="16"/>
              <w:rFonts w:hint="eastAsia" w:ascii="宋体" w:hAnsi="宋体" w:eastAsia="宋体"/>
            </w:rPr>
            <w:t>一、系统登录</w:t>
          </w:r>
          <w:r>
            <w:tab/>
          </w:r>
          <w:r>
            <w:fldChar w:fldCharType="begin"/>
          </w:r>
          <w:r>
            <w:instrText xml:space="preserve"> PAGEREF _Toc516756410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"_Toc516756411"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1.1</w:t>
          </w:r>
          <w:r>
            <w:rPr>
              <w:rStyle w:val="16"/>
              <w:rFonts w:hint="eastAsia" w:ascii="楷体" w:hAnsi="楷体" w:eastAsia="楷体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_Toc516756411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"_Toc516756412" </w:instrText>
          </w:r>
          <w:r>
            <w:fldChar w:fldCharType="separate"/>
          </w:r>
          <w:r>
            <w:rPr>
              <w:rStyle w:val="16"/>
              <w:rFonts w:hint="eastAsia" w:ascii="宋体" w:hAnsi="宋体" w:eastAsia="宋体"/>
            </w:rPr>
            <w:t>二、资产卡片新建</w:t>
          </w:r>
          <w:r>
            <w:tab/>
          </w:r>
          <w:r>
            <w:fldChar w:fldCharType="begin"/>
          </w:r>
          <w:r>
            <w:instrText xml:space="preserve"> PAGEREF _Toc516756412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"_Toc516756413"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2.1</w:t>
          </w:r>
          <w:r>
            <w:rPr>
              <w:rStyle w:val="16"/>
              <w:rFonts w:hint="eastAsia" w:ascii="楷体" w:hAnsi="楷体" w:eastAsia="楷体"/>
            </w:rPr>
            <w:t>资产卡片新建功能概述</w:t>
          </w:r>
          <w:r>
            <w:tab/>
          </w:r>
          <w:r>
            <w:fldChar w:fldCharType="begin"/>
          </w:r>
          <w:r>
            <w:instrText xml:space="preserve"> PAGEREF _Toc516756413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"_Toc516756414"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2.2</w:t>
          </w:r>
          <w:r>
            <w:rPr>
              <w:rStyle w:val="16"/>
              <w:rFonts w:hint="eastAsia" w:ascii="楷体" w:hAnsi="楷体" w:eastAsia="楷体"/>
            </w:rPr>
            <w:t>资产卡片新建操作步骤</w:t>
          </w:r>
          <w:r>
            <w:tab/>
          </w:r>
          <w:r>
            <w:fldChar w:fldCharType="begin"/>
          </w:r>
          <w:r>
            <w:instrText xml:space="preserve"> PAGEREF _Toc516756414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488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"_Toc516756415"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2.2.1</w:t>
          </w:r>
          <w:r>
            <w:rPr>
              <w:rStyle w:val="16"/>
              <w:rFonts w:hint="eastAsia" w:ascii="楷体" w:hAnsi="楷体" w:eastAsia="楷体"/>
            </w:rPr>
            <w:t>资产卡片新建</w:t>
          </w:r>
          <w:r>
            <w:tab/>
          </w:r>
          <w:r>
            <w:fldChar w:fldCharType="begin"/>
          </w:r>
          <w:r>
            <w:instrText xml:space="preserve"> PAGEREF _Toc516756415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488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"_Toc516756416"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2.2.2</w:t>
          </w:r>
          <w:r>
            <w:rPr>
              <w:rStyle w:val="16"/>
              <w:rFonts w:hint="eastAsia" w:ascii="楷体" w:hAnsi="楷体" w:eastAsia="楷体"/>
            </w:rPr>
            <w:t>资产验收</w:t>
          </w:r>
          <w:r>
            <w:tab/>
          </w:r>
          <w:r>
            <w:fldChar w:fldCharType="begin"/>
          </w:r>
          <w:r>
            <w:instrText xml:space="preserve"> PAGEREF _Toc516756416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"_Toc516756417" </w:instrText>
          </w:r>
          <w:r>
            <w:fldChar w:fldCharType="separate"/>
          </w:r>
          <w:r>
            <w:rPr>
              <w:rStyle w:val="16"/>
              <w:rFonts w:hint="eastAsia" w:ascii="宋体" w:hAnsi="宋体"/>
            </w:rPr>
            <w:t>三、资产调剂</w:t>
          </w:r>
          <w:r>
            <w:tab/>
          </w:r>
          <w:r>
            <w:fldChar w:fldCharType="begin"/>
          </w:r>
          <w:r>
            <w:instrText xml:space="preserve"> PAGEREF _Toc516756417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"_Toc516756418"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3.1</w:t>
          </w:r>
          <w:r>
            <w:rPr>
              <w:rStyle w:val="16"/>
              <w:rFonts w:hint="eastAsia" w:ascii="楷体" w:hAnsi="楷体" w:eastAsia="楷体"/>
            </w:rPr>
            <w:t>资产调剂功能概述</w:t>
          </w:r>
          <w:r>
            <w:tab/>
          </w:r>
          <w:r>
            <w:fldChar w:fldCharType="begin"/>
          </w:r>
          <w:r>
            <w:instrText xml:space="preserve"> PAGEREF _Toc516756418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"_Toc516756419"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3.2</w:t>
          </w:r>
          <w:r>
            <w:rPr>
              <w:rStyle w:val="16"/>
              <w:rFonts w:hint="eastAsia" w:ascii="楷体" w:hAnsi="楷体" w:eastAsia="楷体"/>
            </w:rPr>
            <w:t>资产调剂操作步骤</w:t>
          </w:r>
          <w:r>
            <w:tab/>
          </w:r>
          <w:r>
            <w:fldChar w:fldCharType="begin"/>
          </w:r>
          <w:r>
            <w:instrText xml:space="preserve"> PAGEREF _Toc516756419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488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"_Toc516756420"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3.2.1</w:t>
          </w:r>
          <w:r>
            <w:rPr>
              <w:rStyle w:val="16"/>
              <w:rFonts w:hint="eastAsia" w:ascii="楷体" w:hAnsi="楷体" w:eastAsia="楷体"/>
            </w:rPr>
            <w:t>资产调剂申请</w:t>
          </w:r>
          <w:r>
            <w:tab/>
          </w:r>
          <w:r>
            <w:fldChar w:fldCharType="begin"/>
          </w:r>
          <w:r>
            <w:instrText xml:space="preserve"> PAGEREF _Toc516756420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"_Toc516756421" </w:instrText>
          </w:r>
          <w:r>
            <w:fldChar w:fldCharType="separate"/>
          </w:r>
          <w:r>
            <w:rPr>
              <w:rStyle w:val="16"/>
              <w:rFonts w:hint="eastAsia" w:ascii="宋体" w:hAnsi="宋体"/>
            </w:rPr>
            <w:t>四、资产处置</w:t>
          </w:r>
          <w:r>
            <w:tab/>
          </w:r>
          <w:r>
            <w:fldChar w:fldCharType="begin"/>
          </w:r>
          <w:r>
            <w:instrText xml:space="preserve"> PAGEREF _Toc516756421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"_Toc516756422"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4.1</w:t>
          </w:r>
          <w:r>
            <w:rPr>
              <w:rStyle w:val="16"/>
              <w:rFonts w:hint="eastAsia" w:ascii="楷体" w:hAnsi="楷体" w:eastAsia="楷体"/>
            </w:rPr>
            <w:t>资产处置功能概述</w:t>
          </w:r>
          <w:r>
            <w:tab/>
          </w:r>
          <w:r>
            <w:fldChar w:fldCharType="begin"/>
          </w:r>
          <w:r>
            <w:instrText xml:space="preserve"> PAGEREF _Toc516756422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"_Toc516756423"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4.2</w:t>
          </w:r>
          <w:r>
            <w:rPr>
              <w:rStyle w:val="16"/>
              <w:rFonts w:hint="eastAsia" w:ascii="楷体" w:hAnsi="楷体" w:eastAsia="楷体"/>
            </w:rPr>
            <w:t>资产处置操作步骤</w:t>
          </w:r>
          <w:r>
            <w:tab/>
          </w:r>
          <w:r>
            <w:fldChar w:fldCharType="begin"/>
          </w:r>
          <w:r>
            <w:instrText xml:space="preserve"> PAGEREF _Toc516756423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488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"_Toc516756424"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4.2.1</w:t>
          </w:r>
          <w:r>
            <w:rPr>
              <w:rStyle w:val="16"/>
              <w:rFonts w:hint="eastAsia" w:ascii="楷体" w:hAnsi="楷体" w:eastAsia="楷体"/>
            </w:rPr>
            <w:t>校内资产处置申请</w:t>
          </w:r>
          <w:r>
            <w:tab/>
          </w:r>
          <w:r>
            <w:fldChar w:fldCharType="begin"/>
          </w:r>
          <w:r>
            <w:instrText xml:space="preserve"> PAGEREF _Toc516756424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"_Toc516756425" </w:instrText>
          </w:r>
          <w:r>
            <w:fldChar w:fldCharType="separate"/>
          </w:r>
          <w:r>
            <w:rPr>
              <w:rStyle w:val="16"/>
              <w:rFonts w:hint="eastAsia" w:ascii="宋体" w:hAnsi="宋体"/>
            </w:rPr>
            <w:t>五、卡片变动</w:t>
          </w:r>
          <w:r>
            <w:tab/>
          </w:r>
          <w:r>
            <w:fldChar w:fldCharType="begin"/>
          </w:r>
          <w:r>
            <w:instrText xml:space="preserve"> PAGEREF _Toc516756425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"_Toc516756426"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5.1</w:t>
          </w:r>
          <w:r>
            <w:rPr>
              <w:rStyle w:val="16"/>
              <w:rFonts w:hint="eastAsia" w:ascii="楷体" w:hAnsi="楷体" w:eastAsia="楷体"/>
            </w:rPr>
            <w:t>一般信息变动功能概述</w:t>
          </w:r>
          <w:r>
            <w:tab/>
          </w:r>
          <w:r>
            <w:fldChar w:fldCharType="begin"/>
          </w:r>
          <w:r>
            <w:instrText xml:space="preserve"> PAGEREF _Toc516756426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488"/>
            </w:tabs>
          </w:pPr>
          <w:r>
            <w:fldChar w:fldCharType="begin"/>
          </w:r>
          <w:r>
            <w:instrText xml:space="preserve"> HYPERLINK \l "_Toc516756427" </w:instrText>
          </w:r>
          <w:r>
            <w:fldChar w:fldCharType="separate"/>
          </w:r>
          <w:r>
            <w:rPr>
              <w:rStyle w:val="16"/>
              <w:rFonts w:ascii="楷体" w:hAnsi="楷体" w:eastAsia="楷体"/>
            </w:rPr>
            <w:t>5.2</w:t>
          </w:r>
          <w:r>
            <w:rPr>
              <w:rStyle w:val="16"/>
              <w:rFonts w:hint="eastAsia" w:ascii="楷体" w:hAnsi="楷体" w:eastAsia="楷体"/>
            </w:rPr>
            <w:t>一般信息变动功能操作步骤</w:t>
          </w:r>
          <w:r>
            <w:tab/>
          </w:r>
          <w:r>
            <w:fldChar w:fldCharType="begin"/>
          </w:r>
          <w:r>
            <w:instrText xml:space="preserve"> PAGEREF _Toc516756427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</w:pPr>
          <w:r>
            <w:fldChar w:fldCharType="end"/>
          </w:r>
        </w:p>
      </w:sdtContent>
    </w:sdt>
    <w:bookmarkEnd w:id="0"/>
    <w:bookmarkEnd w:id="1"/>
    <w:p>
      <w:pPr>
        <w:widowControl/>
        <w:jc w:val="center"/>
        <w:rPr>
          <w:rFonts w:ascii="宋体" w:hAnsi="宋体" w:eastAsia="宋体"/>
          <w:sz w:val="36"/>
          <w:szCs w:val="36"/>
        </w:rPr>
      </w:pPr>
      <w:r>
        <w:rPr>
          <w:rFonts w:hint="eastAsia"/>
          <w:sz w:val="48"/>
          <w:szCs w:val="48"/>
        </w:rPr>
        <w:br w:type="page"/>
      </w:r>
    </w:p>
    <w:p>
      <w:pPr>
        <w:widowControl/>
        <w:jc w:val="left"/>
        <w:rPr>
          <w:rFonts w:ascii="宋体" w:hAnsi="宋体" w:eastAsia="宋体"/>
          <w:sz w:val="36"/>
          <w:szCs w:val="36"/>
        </w:rPr>
      </w:pPr>
    </w:p>
    <w:p>
      <w:pPr>
        <w:pStyle w:val="2"/>
        <w:rPr>
          <w:rFonts w:ascii="宋体" w:hAnsi="宋体" w:eastAsia="宋体"/>
          <w:sz w:val="36"/>
          <w:szCs w:val="36"/>
        </w:rPr>
      </w:pPr>
      <w:bookmarkStart w:id="6" w:name="_Toc516756410"/>
      <w:r>
        <w:rPr>
          <w:rFonts w:hint="eastAsia" w:ascii="宋体" w:hAnsi="宋体" w:eastAsia="宋体"/>
          <w:sz w:val="36"/>
          <w:szCs w:val="36"/>
        </w:rPr>
        <w:t>一、系统登录</w:t>
      </w:r>
      <w:bookmarkEnd w:id="6"/>
    </w:p>
    <w:p>
      <w:pPr>
        <w:pStyle w:val="3"/>
        <w:rPr>
          <w:rFonts w:ascii="楷体" w:hAnsi="楷体" w:eastAsia="楷体"/>
          <w:sz w:val="28"/>
          <w:szCs w:val="28"/>
        </w:rPr>
      </w:pPr>
      <w:bookmarkStart w:id="7" w:name="_Toc516756411"/>
      <w:r>
        <w:rPr>
          <w:rFonts w:hint="eastAsia" w:ascii="楷体" w:hAnsi="楷体" w:eastAsia="楷体"/>
          <w:sz w:val="28"/>
          <w:szCs w:val="28"/>
        </w:rPr>
        <w:t>1.1系统登录</w:t>
      </w:r>
      <w:bookmarkEnd w:id="7"/>
    </w:p>
    <w:p>
      <w:pPr>
        <w:pStyle w:val="19"/>
        <w:spacing w:line="360" w:lineRule="auto"/>
        <w:ind w:firstLineChars="0"/>
      </w:pPr>
      <w:r>
        <w:rPr>
          <w:rFonts w:hint="eastAsia" w:asciiTheme="minorEastAsia" w:hAnsiTheme="minorEastAsia" w:cstheme="minorEastAsia"/>
        </w:rPr>
        <w:t>用户校园门户系统里面点击【我的服务】下面【资产管理】图标，进入到我们资产系统里面</w:t>
      </w:r>
    </w:p>
    <w:p>
      <w:pPr>
        <w:ind w:right="139" w:rightChars="66"/>
        <w:jc w:val="center"/>
      </w:pPr>
      <w:r>
        <w:drawing>
          <wp:inline distT="0" distB="0" distL="0" distR="0">
            <wp:extent cx="6031230" cy="3232150"/>
            <wp:effectExtent l="0" t="0" r="762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139" w:rightChars="66"/>
        <w:jc w:val="center"/>
      </w:pPr>
    </w:p>
    <w:p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图1-1</w:t>
      </w:r>
    </w:p>
    <w:p>
      <w:pPr>
        <w:pStyle w:val="2"/>
        <w:rPr>
          <w:rFonts w:ascii="宋体" w:hAnsi="宋体" w:eastAsia="宋体"/>
          <w:sz w:val="36"/>
          <w:szCs w:val="36"/>
        </w:rPr>
      </w:pPr>
      <w:bookmarkStart w:id="8" w:name="_Toc464145496"/>
      <w:bookmarkStart w:id="9" w:name="_Toc516756412"/>
      <w:bookmarkStart w:id="10" w:name="_Toc464145425"/>
      <w:bookmarkStart w:id="11" w:name="_Toc464145464"/>
      <w:r>
        <w:rPr>
          <w:rFonts w:hint="eastAsia" w:ascii="宋体" w:hAnsi="宋体" w:eastAsia="宋体"/>
          <w:sz w:val="36"/>
          <w:szCs w:val="36"/>
        </w:rPr>
        <w:t>二、资产卡片新建</w:t>
      </w:r>
      <w:bookmarkEnd w:id="8"/>
      <w:bookmarkEnd w:id="9"/>
      <w:bookmarkEnd w:id="10"/>
      <w:bookmarkEnd w:id="11"/>
    </w:p>
    <w:p>
      <w:pPr>
        <w:pStyle w:val="3"/>
        <w:rPr>
          <w:rFonts w:ascii="楷体" w:hAnsi="楷体" w:eastAsia="楷体"/>
          <w:sz w:val="28"/>
          <w:szCs w:val="28"/>
        </w:rPr>
      </w:pPr>
      <w:bookmarkStart w:id="12" w:name="_Toc516756413"/>
      <w:r>
        <w:rPr>
          <w:rFonts w:hint="eastAsia" w:ascii="楷体" w:hAnsi="楷体" w:eastAsia="楷体"/>
          <w:sz w:val="28"/>
          <w:szCs w:val="28"/>
        </w:rPr>
        <w:t>2.1资产卡片新建功能概述</w:t>
      </w:r>
      <w:bookmarkEnd w:id="12"/>
    </w:p>
    <w:p>
      <w:pPr>
        <w:pStyle w:val="19"/>
        <w:spacing w:line="360" w:lineRule="auto"/>
        <w:ind w:firstLineChars="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此功能用于新增资产。单位购置资产后，需在资产卡片新建功能下录入资产数据。</w:t>
      </w:r>
    </w:p>
    <w:p>
      <w:pPr>
        <w:pStyle w:val="3"/>
        <w:rPr>
          <w:rFonts w:ascii="楷体" w:hAnsi="楷体" w:eastAsia="楷体"/>
          <w:sz w:val="28"/>
          <w:szCs w:val="28"/>
        </w:rPr>
      </w:pPr>
      <w:bookmarkStart w:id="13" w:name="_Toc516756414"/>
      <w:r>
        <w:rPr>
          <w:rFonts w:hint="eastAsia" w:ascii="楷体" w:hAnsi="楷体" w:eastAsia="楷体"/>
          <w:sz w:val="28"/>
          <w:szCs w:val="28"/>
        </w:rPr>
        <w:t>2.2资产卡片新建操作步骤</w:t>
      </w:r>
      <w:bookmarkEnd w:id="13"/>
    </w:p>
    <w:p>
      <w:pPr>
        <w:pStyle w:val="19"/>
        <w:spacing w:line="360" w:lineRule="auto"/>
        <w:ind w:firstLineChars="0"/>
        <w:rPr>
          <w:rFonts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>新增资产需经过资产卡片新建，资产验收两个步骤，验收通过以后，需要财务入账卡片新建才算完成。</w:t>
      </w:r>
    </w:p>
    <w:p>
      <w:pPr>
        <w:pStyle w:val="19"/>
        <w:spacing w:line="360" w:lineRule="auto"/>
        <w:ind w:firstLine="0" w:firstLineChars="0"/>
        <w:jc w:val="left"/>
      </w:pPr>
      <w:r>
        <w:drawing>
          <wp:inline distT="0" distB="0" distL="114300" distR="114300">
            <wp:extent cx="6015990" cy="2807335"/>
            <wp:effectExtent l="9525" t="9525" r="13335" b="2159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2807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图2-1</w:t>
      </w:r>
    </w:p>
    <w:p>
      <w:pPr>
        <w:pStyle w:val="4"/>
        <w:rPr>
          <w:rFonts w:ascii="楷体" w:hAnsi="楷体" w:eastAsia="楷体"/>
          <w:sz w:val="24"/>
          <w:szCs w:val="24"/>
        </w:rPr>
      </w:pPr>
      <w:bookmarkStart w:id="14" w:name="_Toc516756415"/>
      <w:r>
        <w:rPr>
          <w:rFonts w:hint="eastAsia" w:ascii="楷体" w:hAnsi="楷体" w:eastAsia="楷体"/>
          <w:sz w:val="24"/>
          <w:szCs w:val="24"/>
        </w:rPr>
        <w:t>2.2.1资产卡片新建</w:t>
      </w:r>
      <w:bookmarkEnd w:id="14"/>
    </w:p>
    <w:p>
      <w:pPr>
        <w:pStyle w:val="19"/>
        <w:spacing w:line="360" w:lineRule="auto"/>
        <w:ind w:firstLineChars="0"/>
      </w:pPr>
      <w:r>
        <w:rPr>
          <w:rFonts w:hint="eastAsia"/>
        </w:rPr>
        <w:t>资产卡片新建，基层单位用户登录系统，依次点击</w:t>
      </w:r>
      <w:r>
        <w:rPr>
          <w:rStyle w:val="28"/>
          <w:rFonts w:hint="eastAsia"/>
        </w:rPr>
        <w:t>验收入账</w:t>
      </w:r>
      <w:r>
        <w:rPr>
          <w:rFonts w:hint="eastAsia"/>
        </w:rPr>
        <w:t>-</w:t>
      </w:r>
      <w:r>
        <w:rPr>
          <w:rStyle w:val="28"/>
          <w:rFonts w:hint="eastAsia"/>
        </w:rPr>
        <w:t>资产卡片新建</w:t>
      </w:r>
      <w:r>
        <w:rPr>
          <w:rFonts w:hint="eastAsia"/>
        </w:rPr>
        <w:t>进入资产卡片新建功能。</w:t>
      </w:r>
    </w:p>
    <w:p>
      <w:pPr>
        <w:pStyle w:val="19"/>
        <w:ind w:firstLine="0" w:firstLineChars="0"/>
        <w:jc w:val="left"/>
      </w:pPr>
    </w:p>
    <w:p>
      <w:pPr>
        <w:pStyle w:val="19"/>
        <w:ind w:firstLine="0" w:firstLineChars="0"/>
        <w:jc w:val="left"/>
      </w:pPr>
      <w:r>
        <w:drawing>
          <wp:inline distT="0" distB="0" distL="114300" distR="114300">
            <wp:extent cx="6028055" cy="2765425"/>
            <wp:effectExtent l="9525" t="9525" r="2032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图2-2</w:t>
      </w:r>
    </w:p>
    <w:p>
      <w:pPr>
        <w:pStyle w:val="19"/>
        <w:spacing w:line="360" w:lineRule="auto"/>
        <w:ind w:firstLineChars="0"/>
      </w:pPr>
      <w:r>
        <w:rPr>
          <w:rFonts w:hint="eastAsia"/>
        </w:rPr>
        <w:t>选择资产分类，或者在搜索框中搜索，点击搜索结果，</w:t>
      </w:r>
      <w:r>
        <w:rPr>
          <w:rFonts w:hint="eastAsia" w:hAnsi="宋体"/>
        </w:rPr>
        <w:t>弹出相应资产的卡片信息录入界面</w:t>
      </w:r>
    </w:p>
    <w:p>
      <w:pPr>
        <w:pStyle w:val="6"/>
        <w:spacing w:before="156" w:after="156" w:line="360" w:lineRule="auto"/>
        <w:ind w:left="0" w:firstLine="0" w:firstLineChars="0"/>
      </w:pPr>
      <w:r>
        <w:drawing>
          <wp:inline distT="0" distB="0" distL="114300" distR="114300">
            <wp:extent cx="6022975" cy="2320290"/>
            <wp:effectExtent l="9525" t="9525" r="25400" b="133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图2-3</w:t>
      </w:r>
    </w:p>
    <w:p>
      <w:pPr>
        <w:pStyle w:val="19"/>
        <w:spacing w:line="360" w:lineRule="auto"/>
        <w:ind w:firstLineChars="0"/>
      </w:pPr>
      <w:r>
        <w:rPr>
          <w:rFonts w:hint="eastAsia" w:hAnsi="宋体"/>
        </w:rPr>
        <w:t>输入</w:t>
      </w:r>
      <w:r>
        <w:rPr>
          <w:rFonts w:hint="eastAsia"/>
        </w:rPr>
        <w:t>“资产分类”、“资产名称”、“记账日期”、“价值”等信息项，其中有红色</w:t>
      </w:r>
      <w:r>
        <w:rPr>
          <w:rFonts w:hint="eastAsia"/>
          <w:color w:val="FF0000"/>
        </w:rPr>
        <w:t>*</w:t>
      </w:r>
      <w:r>
        <w:rPr>
          <w:rFonts w:hint="eastAsia"/>
        </w:rPr>
        <w:t>号标记项为必填项（若未填写完整点击</w:t>
      </w:r>
      <w:r>
        <w:rPr>
          <w:rStyle w:val="28"/>
          <w:rFonts w:hint="eastAsia"/>
        </w:rPr>
        <w:t>保存</w:t>
      </w:r>
      <w:r>
        <w:rPr>
          <w:rFonts w:hint="eastAsia"/>
        </w:rPr>
        <w:t>，系统会给出相应提示）。</w:t>
      </w:r>
    </w:p>
    <w:p>
      <w:pPr>
        <w:pStyle w:val="19"/>
        <w:spacing w:line="360" w:lineRule="auto"/>
        <w:ind w:firstLineChars="0"/>
        <w:rPr>
          <w:rFonts w:hAnsi="宋体"/>
        </w:rPr>
      </w:pPr>
      <w:r>
        <w:rPr>
          <w:rFonts w:hint="eastAsia" w:hAnsi="宋体"/>
        </w:rPr>
        <w:t>在新建卡片时，资产卡片的信息未录入完全，可点击</w:t>
      </w:r>
      <w:r>
        <w:rPr>
          <w:rStyle w:val="28"/>
          <w:rFonts w:hint="eastAsia"/>
        </w:rPr>
        <w:t>暂存</w:t>
      </w:r>
      <w:r>
        <w:rPr>
          <w:rFonts w:hint="eastAsia" w:hAnsi="宋体"/>
        </w:rPr>
        <w:t>按钮，将此张卡片进行暂存，后续可继续</w:t>
      </w:r>
      <w:r>
        <w:rPr>
          <w:rStyle w:val="28"/>
          <w:rFonts w:hint="eastAsia"/>
        </w:rPr>
        <w:t>修改</w:t>
      </w:r>
      <w:r>
        <w:rPr>
          <w:rFonts w:hint="eastAsia" w:hAnsi="宋体"/>
        </w:rPr>
        <w:t>。</w:t>
      </w:r>
    </w:p>
    <w:p>
      <w:pPr>
        <w:pStyle w:val="19"/>
        <w:ind w:firstLine="0" w:firstLineChars="0"/>
        <w:jc w:val="left"/>
      </w:pPr>
      <w:r>
        <w:drawing>
          <wp:inline distT="0" distB="0" distL="114300" distR="114300">
            <wp:extent cx="6026150" cy="3131185"/>
            <wp:effectExtent l="9525" t="9525" r="22225" b="215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3131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图2-4</w:t>
      </w:r>
    </w:p>
    <w:p>
      <w:pPr>
        <w:pStyle w:val="19"/>
        <w:spacing w:line="360" w:lineRule="auto"/>
        <w:ind w:firstLineChars="0"/>
        <w:rPr>
          <w:rFonts w:hAnsi="宋体"/>
        </w:rPr>
      </w:pPr>
      <w:r>
        <w:rPr>
          <w:rFonts w:hint="eastAsia" w:hAnsi="宋体"/>
        </w:rPr>
        <w:t>完成资产卡片新建后需新建资产验收申请，具体步骤2.2.2中在具体介绍。</w:t>
      </w:r>
    </w:p>
    <w:p>
      <w:pPr>
        <w:pStyle w:val="4"/>
        <w:rPr>
          <w:rFonts w:ascii="楷体" w:hAnsi="楷体" w:eastAsia="楷体"/>
          <w:sz w:val="24"/>
          <w:szCs w:val="24"/>
        </w:rPr>
      </w:pPr>
      <w:bookmarkStart w:id="15" w:name="_Toc516756416"/>
      <w:r>
        <w:rPr>
          <w:rFonts w:hint="eastAsia" w:ascii="楷体" w:hAnsi="楷体" w:eastAsia="楷体"/>
          <w:sz w:val="24"/>
          <w:szCs w:val="24"/>
        </w:rPr>
        <w:t>2.2.2资产验收</w:t>
      </w:r>
      <w:bookmarkEnd w:id="15"/>
    </w:p>
    <w:p>
      <w:pPr>
        <w:pStyle w:val="19"/>
        <w:spacing w:line="360" w:lineRule="auto"/>
        <w:ind w:firstLineChars="0"/>
      </w:pPr>
      <w:r>
        <w:rPr>
          <w:rFonts w:hint="eastAsia"/>
        </w:rPr>
        <w:t>资产验收，基层单位用户登录系统，依次点击</w:t>
      </w:r>
      <w:r>
        <w:rPr>
          <w:rStyle w:val="28"/>
          <w:rFonts w:hint="eastAsia"/>
        </w:rPr>
        <w:t>卡片管理</w:t>
      </w:r>
      <w:r>
        <w:rPr>
          <w:rFonts w:hint="eastAsia"/>
        </w:rPr>
        <w:t>-</w:t>
      </w:r>
      <w:r>
        <w:rPr>
          <w:rStyle w:val="28"/>
          <w:rFonts w:hint="eastAsia"/>
        </w:rPr>
        <w:t>资产验收申请</w:t>
      </w:r>
      <w:r>
        <w:rPr>
          <w:rFonts w:hint="eastAsia"/>
        </w:rPr>
        <w:t>进入资产验收功能。</w:t>
      </w:r>
    </w:p>
    <w:p>
      <w:pPr>
        <w:pStyle w:val="6"/>
        <w:spacing w:before="156" w:after="156"/>
        <w:ind w:left="0" w:firstLine="0" w:firstLineChars="0"/>
      </w:pPr>
      <w:r>
        <w:drawing>
          <wp:inline distT="0" distB="0" distL="114300" distR="114300">
            <wp:extent cx="6031230" cy="2762250"/>
            <wp:effectExtent l="9525" t="9525" r="1714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62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Theme="minorEastAsia" w:hAnsiTheme="minorEastAsia"/>
          <w:sz w:val="18"/>
          <w:szCs w:val="18"/>
        </w:rPr>
        <w:t>图2-5</w:t>
      </w:r>
    </w:p>
    <w:p>
      <w:pPr>
        <w:jc w:val="center"/>
      </w:pPr>
    </w:p>
    <w:p>
      <w:pPr>
        <w:pStyle w:val="19"/>
        <w:spacing w:line="360" w:lineRule="auto"/>
        <w:ind w:firstLineChars="0"/>
      </w:pPr>
      <w:r>
        <w:rPr>
          <w:rFonts w:hint="eastAsia"/>
        </w:rPr>
        <w:t>点击</w:t>
      </w:r>
      <w:r>
        <w:rPr>
          <w:rStyle w:val="28"/>
          <w:rFonts w:hint="eastAsia"/>
        </w:rPr>
        <w:t>新建验收单</w:t>
      </w:r>
      <w:r>
        <w:rPr>
          <w:rFonts w:hint="eastAsia"/>
        </w:rPr>
        <w:t>出现验收单据，</w:t>
      </w:r>
      <w:r>
        <w:rPr>
          <w:rFonts w:hint="eastAsia"/>
          <w:color w:val="FF0000"/>
        </w:rPr>
        <w:t>注意：需选择“</w:t>
      </w:r>
      <w:r>
        <w:rPr>
          <w:rFonts w:hint="eastAsia"/>
          <w:b/>
          <w:color w:val="FF0000"/>
        </w:rPr>
        <w:t>验收</w:t>
      </w:r>
      <w:r>
        <w:rPr>
          <w:rFonts w:hint="eastAsia"/>
          <w:b/>
          <w:color w:val="FF0000"/>
          <w:lang w:val="en-US" w:eastAsia="zh-CN"/>
        </w:rPr>
        <w:t>部门</w:t>
      </w:r>
      <w:r>
        <w:rPr>
          <w:rFonts w:hint="eastAsia"/>
          <w:color w:val="FF0000"/>
        </w:rPr>
        <w:t>”才能选择到此</w:t>
      </w:r>
      <w:r>
        <w:rPr>
          <w:rFonts w:hint="eastAsia"/>
          <w:color w:val="FF0000"/>
          <w:lang w:val="en-US" w:eastAsia="zh-CN"/>
        </w:rPr>
        <w:t>部门</w:t>
      </w:r>
      <w:r>
        <w:rPr>
          <w:rFonts w:hint="eastAsia"/>
          <w:color w:val="FF0000"/>
        </w:rPr>
        <w:t>下的资产卡片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6021070" cy="2732405"/>
            <wp:effectExtent l="0" t="0" r="17780" b="107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图2-6</w:t>
      </w:r>
    </w:p>
    <w:p>
      <w:pPr>
        <w:pStyle w:val="19"/>
        <w:spacing w:line="360" w:lineRule="auto"/>
        <w:ind w:firstLineChars="0"/>
      </w:pPr>
      <w:r>
        <w:rPr>
          <w:rFonts w:hint="eastAsia"/>
        </w:rPr>
        <w:t>单击</w:t>
      </w:r>
      <w:r>
        <w:rPr>
          <w:rStyle w:val="28"/>
          <w:rFonts w:hint="eastAsia"/>
        </w:rPr>
        <w:t>卡片</w:t>
      </w:r>
      <w:r>
        <w:rPr>
          <w:rFonts w:hint="eastAsia"/>
        </w:rPr>
        <w:t>，勾选相应的卡片单击</w:t>
      </w:r>
      <w:r>
        <w:rPr>
          <w:rStyle w:val="28"/>
          <w:rFonts w:hint="eastAsia"/>
        </w:rPr>
        <w:t>确定</w:t>
      </w:r>
    </w:p>
    <w:p>
      <w:pPr>
        <w:jc w:val="center"/>
      </w:pPr>
      <w:r>
        <w:drawing>
          <wp:inline distT="0" distB="0" distL="0" distR="0">
            <wp:extent cx="6156960" cy="2932430"/>
            <wp:effectExtent l="0" t="0" r="15240" b="127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295" cy="293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图2-7</w:t>
      </w:r>
    </w:p>
    <w:p>
      <w:pPr>
        <w:jc w:val="center"/>
        <w:rPr>
          <w:rFonts w:hint="eastAsia" w:asciiTheme="minorEastAsia" w:hAnsiTheme="minorEastAsia"/>
          <w:sz w:val="18"/>
          <w:szCs w:val="18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     卡片选择完成之后，根据验收情况上传验收纸质件：如图2-8</w:t>
      </w:r>
      <w:r>
        <w:rPr>
          <w:rFonts w:hint="eastAsia"/>
          <w:b/>
          <w:bCs/>
          <w:color w:val="FF0000"/>
          <w:lang w:val="en-US" w:eastAsia="zh-CN"/>
        </w:rPr>
        <w:t>（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2"/>
          <w:lang w:val="en-US" w:eastAsia="zh-CN" w:bidi="ar-SA"/>
        </w:rPr>
        <w:t>5万以下的分散采购，由部门自行验收</w:t>
      </w:r>
      <w:r>
        <w:rPr>
          <w:rFonts w:hint="eastAsia" w:cstheme="minorBidi"/>
          <w:b/>
          <w:bCs/>
          <w:color w:val="FF0000"/>
          <w:kern w:val="2"/>
          <w:sz w:val="21"/>
          <w:szCs w:val="22"/>
          <w:lang w:val="en-US" w:eastAsia="zh-CN" w:bidi="ar-SA"/>
        </w:rPr>
        <w:t>的，在部门新建验收单时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2"/>
          <w:lang w:val="en-US" w:eastAsia="zh-CN" w:bidi="ar-SA"/>
        </w:rPr>
        <w:t>上传验收纸质件到附件；5万以上</w:t>
      </w:r>
      <w:r>
        <w:rPr>
          <w:rFonts w:hint="eastAsia" w:cstheme="minorBidi"/>
          <w:b/>
          <w:bCs/>
          <w:color w:val="FF0000"/>
          <w:kern w:val="2"/>
          <w:sz w:val="21"/>
          <w:szCs w:val="22"/>
          <w:lang w:val="en-US" w:eastAsia="zh-CN" w:bidi="ar-SA"/>
        </w:rPr>
        <w:t>由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2"/>
          <w:lang w:val="en-US" w:eastAsia="zh-CN" w:bidi="ar-SA"/>
        </w:rPr>
        <w:t>资产处组织验收，资产科（或设备科）</w:t>
      </w:r>
      <w:r>
        <w:rPr>
          <w:rFonts w:hint="eastAsia" w:cstheme="minorBidi"/>
          <w:b/>
          <w:bCs/>
          <w:color w:val="FF0000"/>
          <w:kern w:val="2"/>
          <w:sz w:val="21"/>
          <w:szCs w:val="22"/>
          <w:lang w:val="en-US" w:eastAsia="zh-CN" w:bidi="ar-SA"/>
        </w:rPr>
        <w:t>在审核时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2"/>
          <w:lang w:val="en-US" w:eastAsia="zh-CN" w:bidi="ar-SA"/>
        </w:rPr>
        <w:t>上传验收纸质件</w:t>
      </w:r>
      <w:r>
        <w:rPr>
          <w:rFonts w:hint="eastAsia" w:cstheme="minorBidi"/>
          <w:b/>
          <w:bCs/>
          <w:color w:val="FF0000"/>
          <w:kern w:val="2"/>
          <w:sz w:val="21"/>
          <w:szCs w:val="22"/>
          <w:lang w:val="en-US" w:eastAsia="zh-CN" w:bidi="ar-SA"/>
        </w:rPr>
        <w:t>。</w:t>
      </w:r>
      <w:r>
        <w:rPr>
          <w:rFonts w:hint="eastAsia"/>
          <w:b/>
          <w:bCs/>
          <w:color w:val="FF0000"/>
          <w:lang w:val="en-US" w:eastAsia="zh-CN"/>
        </w:rPr>
        <w:t>）</w:t>
      </w:r>
      <w:bookmarkStart w:id="41" w:name="_GoBack"/>
      <w:bookmarkEnd w:id="41"/>
    </w:p>
    <w:p>
      <w:pPr>
        <w:jc w:val="center"/>
        <w:rPr>
          <w:rFonts w:hint="eastAsia" w:asciiTheme="minorEastAsia" w:hAnsiTheme="minor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6022340" cy="2779395"/>
            <wp:effectExtent l="0" t="0" r="16510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/>
          <w:sz w:val="18"/>
          <w:szCs w:val="18"/>
        </w:rPr>
        <w:t>图2-</w:t>
      </w:r>
      <w:r>
        <w:rPr>
          <w:rFonts w:hint="eastAsia" w:asciiTheme="minorEastAsia" w:hAnsiTheme="minorEastAsia"/>
          <w:sz w:val="18"/>
          <w:szCs w:val="18"/>
          <w:lang w:val="en-US" w:eastAsia="zh-CN"/>
        </w:rPr>
        <w:t>8</w:t>
      </w:r>
    </w:p>
    <w:p>
      <w:pPr>
        <w:jc w:val="center"/>
        <w:rPr>
          <w:rFonts w:hint="eastAsia" w:asciiTheme="minorEastAsia" w:hAnsiTheme="minorEastAsia"/>
          <w:sz w:val="18"/>
          <w:szCs w:val="18"/>
        </w:rPr>
      </w:pPr>
    </w:p>
    <w:p>
      <w:pPr>
        <w:jc w:val="center"/>
        <w:rPr>
          <w:rFonts w:hint="eastAsia" w:asciiTheme="minorEastAsia" w:hAnsiTheme="minorEastAsia"/>
          <w:sz w:val="18"/>
          <w:szCs w:val="18"/>
        </w:rPr>
      </w:pPr>
    </w:p>
    <w:p>
      <w:pPr>
        <w:pStyle w:val="19"/>
        <w:spacing w:line="360" w:lineRule="auto"/>
        <w:ind w:firstLineChars="0"/>
      </w:pPr>
      <w:r>
        <w:rPr>
          <w:rFonts w:hint="eastAsia"/>
        </w:rPr>
        <w:t>在单据界面填写所需内容，点击</w:t>
      </w:r>
      <w:r>
        <w:rPr>
          <w:rStyle w:val="28"/>
          <w:rFonts w:hint="eastAsia"/>
        </w:rPr>
        <w:t>保存</w:t>
      </w:r>
      <w:r>
        <w:rPr>
          <w:rFonts w:hint="eastAsia"/>
        </w:rPr>
        <w:t>并</w:t>
      </w:r>
      <w:r>
        <w:rPr>
          <w:rStyle w:val="28"/>
          <w:rFonts w:hint="eastAsia"/>
        </w:rPr>
        <w:t>提交审核</w:t>
      </w:r>
      <w:r>
        <w:rPr>
          <w:rFonts w:hint="eastAsia"/>
        </w:rPr>
        <w:t>，如图2-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1113790</wp:posOffset>
                </wp:positionV>
                <wp:extent cx="441325" cy="155575"/>
                <wp:effectExtent l="0" t="0" r="15875" b="158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15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45pt;margin-top:87.7pt;height:12.25pt;width:34.75pt;z-index:251666432;v-text-anchor:middle;mso-width-relative:page;mso-height-relative:page;" fillcolor="#FFFFFF [3212]" filled="t" stroked="f" coordsize="21600,21600" o:gfxdata="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zVCNNUAAAALAQAADwAAAAAAAAABACAAAAAiAAAA&#10;ZHJzL2Rvd25yZXYueG1sUEsBAhQAFAAAAAgAh07iQExswxBDAgAAZwQAAA4AAAAAAAAAAQAgAAAA&#10;JAEAAGRycy9lMm9Eb2MueG1sUEsFBgAAAAAGAAYAWQEAANk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3606800</wp:posOffset>
                </wp:positionV>
                <wp:extent cx="389890" cy="155575"/>
                <wp:effectExtent l="0" t="0" r="10160" b="158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15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85pt;margin-top:284pt;height:12.25pt;width:30.7pt;z-index:251663360;v-text-anchor:middle;mso-width-relative:page;mso-height-relative:page;" fillcolor="#FFFFFF [3212]" filled="t" stroked="f" coordsize="21600,21600" o:gfxdata="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UkgIdYAAAAKAQAADwAAAAAAAAABACAAAAAiAAAA&#10;ZHJzL2Rvd25yZXYueG1sUEsBAhQAFAAAAAgAh07iQGJgbvpCAgAAZwQAAA4AAAAAAAAAAQAgAAAA&#10;JQEAAGRycy9lMm9Eb2MueG1sUEsFBgAAAAAGAAYAWQEAANk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1091565</wp:posOffset>
                </wp:positionV>
                <wp:extent cx="389890" cy="155575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7230" y="5511165"/>
                          <a:ext cx="389890" cy="15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5pt;margin-top:85.95pt;height:12.25pt;width:30.7pt;z-index:251660288;v-text-anchor:middle;mso-width-relative:page;mso-height-relative:page;" fillcolor="#FFFFFF [3212]" filled="t" stroked="f" coordsize="21600,21600" o:gfxdata="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QZSr/WAAAACwEAAA8AAAAA&#10;AAAAAQAgAAAAIgAAAGRycy9kb3ducmV2LnhtbFBLAQIUABQAAAAIAIdO4kC6YQmhTwIAAHMEAAAO&#10;AAAAAAAAAAEAIAAAACUBAABkcnMvZTJvRG9jLnhtbFBLBQYAAAAABgAGAFkBAADm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822950" cy="3803650"/>
            <wp:effectExtent l="0" t="0" r="6350" b="635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613" r="3203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/>
          <w:sz w:val="18"/>
          <w:szCs w:val="18"/>
        </w:rPr>
        <w:t>图2-</w:t>
      </w:r>
      <w:r>
        <w:rPr>
          <w:rFonts w:hint="eastAsia" w:asciiTheme="minorEastAsia" w:hAnsiTheme="minorEastAsia"/>
          <w:sz w:val="18"/>
          <w:szCs w:val="18"/>
          <w:lang w:val="en-US" w:eastAsia="zh-CN"/>
        </w:rPr>
        <w:t>9</w:t>
      </w:r>
    </w:p>
    <w:p>
      <w:pPr>
        <w:jc w:val="center"/>
        <w:rPr>
          <w:rFonts w:asciiTheme="minorEastAsia" w:hAnsiTheme="minorEastAsia"/>
          <w:sz w:val="18"/>
          <w:szCs w:val="18"/>
        </w:rPr>
      </w:pPr>
    </w:p>
    <w:p>
      <w:pPr>
        <w:pStyle w:val="19"/>
        <w:spacing w:line="360" w:lineRule="auto"/>
        <w:ind w:firstLineChars="0"/>
        <w:rPr>
          <w:rFonts w:hint="eastAsia" w:hAnsi="宋体"/>
        </w:rPr>
      </w:pPr>
      <w:r>
        <w:rPr>
          <w:rFonts w:hint="eastAsia"/>
        </w:rPr>
        <w:t>提交以后需要等相关负责人审核，审核流程可以通过【流程监控】查看，如图2-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所示。审核通过以后，财务</w:t>
      </w:r>
      <w:r>
        <w:rPr>
          <w:rFonts w:hint="eastAsia" w:hAnsi="宋体"/>
        </w:rPr>
        <w:t>入账完成后资产卡片新建完成并在系统中生效，可进行后续的业务操作。</w:t>
      </w:r>
    </w:p>
    <w:p>
      <w:pPr>
        <w:pStyle w:val="19"/>
        <w:spacing w:line="360" w:lineRule="auto"/>
        <w:ind w:firstLineChars="0"/>
        <w:rPr>
          <w:rFonts w:hint="eastAsia" w:hAnsi="宋体"/>
        </w:rPr>
      </w:pPr>
      <w:r>
        <w:drawing>
          <wp:inline distT="0" distB="0" distL="114300" distR="114300">
            <wp:extent cx="6023610" cy="2755900"/>
            <wp:effectExtent l="0" t="0" r="15240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361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ind w:firstLineChars="0"/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1630680</wp:posOffset>
                </wp:positionV>
                <wp:extent cx="363220" cy="92710"/>
                <wp:effectExtent l="0" t="0" r="17780" b="254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9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15pt;margin-top:128.4pt;height:7.3pt;width:28.6pt;z-index:251677696;v-text-anchor:middle;mso-width-relative:page;mso-height-relative:page;" fillcolor="#FFFFFF [3212]" filled="t" stroked="f" coordsize="21600,21600" o:gfxdata="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btCbjXAAAACwEAAA8AAAAAAAAAAQAgAAAAIgAA&#10;AGRycy9kb3ducmV2LnhtbFBLAQIUABQAAAAIAIdO4kCUZxpQQgIAAGYEAAAOAAAAAAAAAAEAIAAA&#10;ACYBAABkcnMvZTJvRG9jLnhtbFBLBQYAAAAABgAGAFkBAADa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1626235</wp:posOffset>
                </wp:positionV>
                <wp:extent cx="363220" cy="92710"/>
                <wp:effectExtent l="0" t="0" r="17780" b="254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5870" y="2083435"/>
                          <a:ext cx="363220" cy="92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7pt;margin-top:128.05pt;height:7.3pt;width:28.6pt;z-index:251667456;v-text-anchor:middle;mso-width-relative:page;mso-height-relative:page;" fillcolor="#FFFFFF [3212]" filled="t" stroked="f" coordsize="21600,21600" o:gfxdata="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KoNgfWAAAACwEAAA8AAAAAAAAA&#10;AQAgAAAAIgAAAGRycy9kb3ducmV2LnhtbFBLAQIUABQAAAAIAIdO4kDWOomzTAIAAHIEAAAOAAAA&#10;AAAAAAEAIAAAACUBAABkcnMvZTJvRG9jLnhtbFBLBQYAAAAABgAGAFkBAADj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030595" cy="2199005"/>
            <wp:effectExtent l="0" t="0" r="8255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/>
          <w:sz w:val="18"/>
          <w:szCs w:val="18"/>
        </w:rPr>
        <w:t>图2-</w:t>
      </w:r>
      <w:r>
        <w:rPr>
          <w:rFonts w:hint="eastAsia" w:asciiTheme="minorEastAsia" w:hAnsiTheme="minorEastAsia"/>
          <w:sz w:val="18"/>
          <w:szCs w:val="18"/>
          <w:lang w:val="en-US" w:eastAsia="zh-CN"/>
        </w:rPr>
        <w:t>10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审核部门在审核数据的时候，可以双击附件点击已上传的文件，可以直接选择打开文件，可以查看单位上传的验收纸质件是否符合规定要求；如图2-11</w:t>
      </w:r>
    </w:p>
    <w:p>
      <w:pPr>
        <w:jc w:val="both"/>
      </w:pPr>
      <w:r>
        <w:drawing>
          <wp:inline distT="0" distB="0" distL="114300" distR="114300">
            <wp:extent cx="6022340" cy="2940050"/>
            <wp:effectExtent l="0" t="0" r="16510" b="1270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500" w:firstLineChars="2500"/>
        <w:jc w:val="both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sz w:val="18"/>
          <w:szCs w:val="18"/>
          <w:lang w:val="en-US" w:eastAsia="zh-CN"/>
        </w:rPr>
        <w:t>图2-11</w:t>
      </w:r>
    </w:p>
    <w:p>
      <w:pPr>
        <w:pStyle w:val="2"/>
        <w:rPr>
          <w:rFonts w:ascii="宋体" w:hAnsi="宋体"/>
          <w:sz w:val="36"/>
          <w:szCs w:val="36"/>
        </w:rPr>
      </w:pPr>
      <w:bookmarkStart w:id="16" w:name="_Toc497394759"/>
      <w:bookmarkStart w:id="17" w:name="_Toc516756417"/>
      <w:bookmarkStart w:id="18" w:name="_Toc497394764"/>
      <w:bookmarkStart w:id="19" w:name="_Toc464145467"/>
      <w:bookmarkStart w:id="20" w:name="_Toc464145499"/>
      <w:bookmarkStart w:id="21" w:name="_Toc464145428"/>
      <w:r>
        <w:rPr>
          <w:rFonts w:hint="eastAsia" w:ascii="宋体" w:hAnsi="宋体"/>
          <w:sz w:val="36"/>
          <w:szCs w:val="36"/>
        </w:rPr>
        <w:t>三、资产调剂</w:t>
      </w:r>
      <w:bookmarkEnd w:id="16"/>
      <w:bookmarkEnd w:id="17"/>
    </w:p>
    <w:p>
      <w:pPr>
        <w:pStyle w:val="3"/>
        <w:rPr>
          <w:rFonts w:ascii="楷体" w:hAnsi="楷体" w:eastAsia="楷体"/>
          <w:sz w:val="28"/>
          <w:szCs w:val="28"/>
        </w:rPr>
      </w:pPr>
      <w:bookmarkStart w:id="22" w:name="_Toc516756418"/>
      <w:bookmarkStart w:id="23" w:name="_Toc497394760"/>
      <w:r>
        <w:rPr>
          <w:rFonts w:hint="eastAsia" w:ascii="楷体" w:hAnsi="楷体" w:eastAsia="楷体"/>
          <w:sz w:val="28"/>
          <w:szCs w:val="28"/>
        </w:rPr>
        <w:t>3.1资产调剂功能概述</w:t>
      </w:r>
      <w:bookmarkEnd w:id="22"/>
      <w:bookmarkEnd w:id="23"/>
    </w:p>
    <w:p>
      <w:pPr>
        <w:spacing w:line="360" w:lineRule="auto"/>
        <w:ind w:firstLine="420" w:firstLineChars="200"/>
      </w:pPr>
      <w:r>
        <w:rPr>
          <w:rFonts w:hint="eastAsia"/>
        </w:rPr>
        <w:t>资产调剂，主要是指资产使用部门的调剂，比如，需要将A资产从A部门调到B部门时 ，可以用此功能。</w:t>
      </w:r>
    </w:p>
    <w:p>
      <w:pPr>
        <w:pStyle w:val="3"/>
        <w:rPr>
          <w:rFonts w:ascii="楷体" w:hAnsi="楷体" w:eastAsia="楷体"/>
          <w:sz w:val="28"/>
          <w:szCs w:val="28"/>
        </w:rPr>
      </w:pPr>
      <w:bookmarkStart w:id="24" w:name="_Toc497394761"/>
      <w:bookmarkStart w:id="25" w:name="_Toc516756419"/>
      <w:r>
        <w:rPr>
          <w:rFonts w:hint="eastAsia" w:ascii="楷体" w:hAnsi="楷体" w:eastAsia="楷体"/>
          <w:sz w:val="28"/>
          <w:szCs w:val="28"/>
        </w:rPr>
        <w:t>3.2资产调剂操作步骤</w:t>
      </w:r>
      <w:bookmarkEnd w:id="24"/>
      <w:bookmarkEnd w:id="25"/>
    </w:p>
    <w:p>
      <w:pPr>
        <w:pStyle w:val="4"/>
        <w:rPr>
          <w:rFonts w:ascii="楷体" w:hAnsi="楷体" w:eastAsia="楷体"/>
          <w:sz w:val="24"/>
          <w:szCs w:val="24"/>
        </w:rPr>
      </w:pPr>
      <w:bookmarkStart w:id="26" w:name="_Toc497394762"/>
      <w:bookmarkStart w:id="27" w:name="_Toc516756420"/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136525</wp:posOffset>
                </wp:positionV>
                <wp:extent cx="111125" cy="90805"/>
                <wp:effectExtent l="0" t="0" r="3175" b="4445"/>
                <wp:wrapNone/>
                <wp:docPr id="119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294.55pt;margin-top:10.75pt;height:7.15pt;width:8.75pt;z-index:251740160;mso-width-relative:page;mso-height-relative:page;" fillcolor="#FFFFFF" filled="t" stroked="f" coordsize="21600,21600" o:gfxdata="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cOcFJdcAAAAJAQAADwAAAAAAAAABACAA&#10;AAAiAAAAZHJzL2Rvd25yZXYueG1sUEsBAhQAFAAAAAgAh07iQNOpakOcAQAAGwMAAA4AAAAAAAAA&#10;AQAgAAAAJgEAAGRycy9lMm9Eb2MueG1sUEsFBgAAAAAGAAYAWQEAAD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142240</wp:posOffset>
                </wp:positionV>
                <wp:extent cx="158115" cy="90805"/>
                <wp:effectExtent l="0" t="0" r="13335" b="4445"/>
                <wp:wrapNone/>
                <wp:docPr id="112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5" o:spid="_x0000_s1026" o:spt="1" style="position:absolute;left:0pt;margin-left:295.45pt;margin-top:11.2pt;height:7.15pt;width:12.45pt;z-index:251739136;mso-width-relative:page;mso-height-relative:page;" fillcolor="#FFFFFF" filled="t" stroked="f" coordsize="21600,21600" o:gfxdata="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mpalT1wAAAAkBAAAPAAAAAAAAAAEA&#10;IAAAACIAAABkcnMvZG93bnJldi54bWxQSwECFAAUAAAACACHTuJAa0XnQ54BAAAbAwAADgAAAAAA&#10;AAABACAAAAAmAQAAZHJzL2Uyb0RvYy54bWxQSwUGAAAAAAYABgBZAQAAN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楷体" w:hAnsi="楷体" w:eastAsia="楷体"/>
          <w:sz w:val="24"/>
          <w:szCs w:val="24"/>
        </w:rPr>
        <w:t>3.2.1资产调剂申请</w:t>
      </w:r>
      <w:bookmarkEnd w:id="26"/>
      <w:bookmarkEnd w:id="27"/>
    </w:p>
    <w:p>
      <w:pPr>
        <w:pStyle w:val="19"/>
        <w:spacing w:line="360" w:lineRule="auto"/>
        <w:ind w:firstLineChars="0"/>
      </w:pPr>
      <w:r>
        <w:rPr>
          <w:rFonts w:hint="eastAsia"/>
        </w:rPr>
        <w:t>用户登录系统，点击</w:t>
      </w:r>
      <w:r>
        <w:rPr>
          <w:rStyle w:val="28"/>
          <w:rFonts w:hint="eastAsia"/>
        </w:rPr>
        <w:t>日常管理</w:t>
      </w:r>
      <w:r>
        <w:rPr>
          <w:rFonts w:hint="eastAsia"/>
        </w:rPr>
        <w:t>-</w:t>
      </w:r>
      <w:r>
        <w:rPr>
          <w:rStyle w:val="28"/>
          <w:rFonts w:hint="eastAsia"/>
        </w:rPr>
        <w:t>资产调剂申请</w:t>
      </w:r>
      <w:r>
        <w:rPr>
          <w:rFonts w:hint="eastAsia"/>
        </w:rPr>
        <w:t>，进入资产调剂申请功能，如图3-1。</w:t>
      </w:r>
    </w:p>
    <w:p>
      <w:pPr>
        <w:jc w:val="center"/>
      </w:pPr>
      <w:r>
        <w:drawing>
          <wp:inline distT="0" distB="0" distL="114300" distR="114300">
            <wp:extent cx="6031230" cy="2737485"/>
            <wp:effectExtent l="0" t="0" r="762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37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图3-</w:t>
      </w:r>
      <w:r>
        <w:rPr>
          <w:sz w:val="18"/>
          <w:szCs w:val="18"/>
        </w:rPr>
        <w:t>1</w:t>
      </w:r>
    </w:p>
    <w:p>
      <w:pPr>
        <w:pStyle w:val="19"/>
        <w:spacing w:line="360" w:lineRule="auto"/>
        <w:ind w:firstLineChars="0"/>
      </w:pPr>
      <w:r>
        <w:rPr>
          <w:rFonts w:hint="eastAsia"/>
        </w:rPr>
        <w:t>点击</w:t>
      </w:r>
      <w:r>
        <w:rPr>
          <w:rStyle w:val="28"/>
          <w:rFonts w:hint="eastAsia"/>
        </w:rPr>
        <w:t>新建调剂单</w:t>
      </w:r>
      <w:r>
        <w:rPr>
          <w:rFonts w:hint="eastAsia"/>
        </w:rPr>
        <w:t>，选择</w:t>
      </w:r>
      <w:r>
        <w:rPr>
          <w:rFonts w:hint="eastAsia"/>
          <w:b/>
          <w:color w:val="FF0000"/>
        </w:rPr>
        <w:t>调出部门</w:t>
      </w:r>
      <w:r>
        <w:rPr>
          <w:rFonts w:hint="eastAsia"/>
        </w:rPr>
        <w:t>和</w:t>
      </w:r>
      <w:r>
        <w:rPr>
          <w:rFonts w:hint="eastAsia"/>
          <w:b/>
          <w:color w:val="FF0000"/>
        </w:rPr>
        <w:t>调入部门</w:t>
      </w:r>
      <w:r>
        <w:rPr>
          <w:rFonts w:hint="eastAsia"/>
        </w:rPr>
        <w:t>，再点击</w:t>
      </w:r>
      <w:r>
        <w:rPr>
          <w:rStyle w:val="28"/>
          <w:rFonts w:hint="eastAsia"/>
        </w:rPr>
        <w:t>选择卡片</w:t>
      </w:r>
      <w:r>
        <w:rPr>
          <w:rFonts w:hint="eastAsia"/>
        </w:rPr>
        <w:t>，选择要调剂的资产卡片，完善单据信息后点击</w:t>
      </w:r>
      <w:r>
        <w:rPr>
          <w:rStyle w:val="28"/>
          <w:rFonts w:hint="eastAsia"/>
        </w:rPr>
        <w:t>保存</w:t>
      </w:r>
      <w:r>
        <w:rPr>
          <w:rFonts w:hint="eastAsia"/>
        </w:rPr>
        <w:t>，点击</w:t>
      </w:r>
      <w:r>
        <w:rPr>
          <w:rStyle w:val="28"/>
          <w:rFonts w:hint="eastAsia"/>
        </w:rPr>
        <w:t>提交</w:t>
      </w:r>
      <w:r>
        <w:rPr>
          <w:rFonts w:hint="eastAsia"/>
        </w:rPr>
        <w:t>，如图3-2。。</w:t>
      </w:r>
    </w:p>
    <w:p/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2406650</wp:posOffset>
                </wp:positionV>
                <wp:extent cx="357505" cy="90805"/>
                <wp:effectExtent l="0" t="0" r="4445" b="4445"/>
                <wp:wrapNone/>
                <wp:docPr id="113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6" o:spid="_x0000_s1026" o:spt="1" style="position:absolute;left:0pt;margin-left:151pt;margin-top:189.5pt;height:7.15pt;width:28.15pt;z-index:251738112;mso-width-relative:page;mso-height-relative:page;" fillcolor="#FFFFFF" filled="t" stroked="f" coordsize="21600,21600" o:gfxdata="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LyMTF7XAAAACwEAAA8AAAAAAAAAAQAg&#10;AAAAIgAAAGRycy9kb3ducmV2LnhtbFBLAQIUABQAAAAIAIdO4kAuiAX1nQEAABsDAAAOAAAAAAAA&#10;AAEAIAAAACYBAABkcnMvZTJvRG9jLnhtbFBLBQYAAAAABgAGAFkBAAA1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</w:pPr>
      <w:r>
        <w:drawing>
          <wp:inline distT="0" distB="0" distL="114300" distR="114300">
            <wp:extent cx="6012815" cy="3317875"/>
            <wp:effectExtent l="0" t="0" r="6985" b="15875"/>
            <wp:docPr id="17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73"/>
                    <pic:cNvPicPr>
                      <a:picLocks noChangeAspect="1"/>
                    </pic:cNvPicPr>
                  </pic:nvPicPr>
                  <pic:blipFill>
                    <a:blip r:embed="rId20"/>
                    <a:srcRect t="5121" r="148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图3-</w:t>
      </w:r>
      <w:r>
        <w:rPr>
          <w:sz w:val="18"/>
          <w:szCs w:val="18"/>
        </w:rPr>
        <w:t>2</w:t>
      </w:r>
    </w:p>
    <w:p>
      <w:pPr>
        <w:jc w:val="left"/>
        <w:rPr>
          <w:sz w:val="18"/>
          <w:szCs w:val="18"/>
        </w:rPr>
      </w:pPr>
      <w:r>
        <w:rPr>
          <w:rFonts w:hint="eastAsia"/>
        </w:rPr>
        <w:t>提交以后需要等相关负责人审核，审核流程可以通过【流程监控】查看，如图3-3。</w:t>
      </w:r>
    </w:p>
    <w:p>
      <w:pPr>
        <w:jc w:val="center"/>
      </w:pPr>
      <w:r>
        <w:drawing>
          <wp:inline distT="0" distB="0" distL="114300" distR="114300">
            <wp:extent cx="6029325" cy="2421890"/>
            <wp:effectExtent l="9525" t="9525" r="19050" b="260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421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图3-3</w:t>
      </w:r>
    </w:p>
    <w:p>
      <w:pPr>
        <w:jc w:val="center"/>
      </w:pPr>
    </w:p>
    <w:p>
      <w:pPr>
        <w:jc w:val="center"/>
      </w:pPr>
    </w:p>
    <w:p>
      <w:pPr>
        <w:pStyle w:val="2"/>
        <w:rPr>
          <w:rFonts w:ascii="宋体" w:hAnsi="宋体"/>
          <w:sz w:val="36"/>
          <w:szCs w:val="36"/>
        </w:rPr>
      </w:pPr>
      <w:bookmarkStart w:id="28" w:name="_Toc516756421"/>
      <w:r>
        <w:rPr>
          <w:rFonts w:hint="eastAsia" w:ascii="宋体" w:hAnsi="宋体"/>
          <w:sz w:val="36"/>
          <w:szCs w:val="36"/>
        </w:rPr>
        <w:t>四、资产处置</w:t>
      </w:r>
      <w:bookmarkEnd w:id="18"/>
      <w:bookmarkEnd w:id="28"/>
    </w:p>
    <w:p>
      <w:pPr>
        <w:pStyle w:val="3"/>
        <w:rPr>
          <w:rFonts w:ascii="楷体" w:hAnsi="楷体" w:eastAsia="楷体"/>
          <w:sz w:val="28"/>
          <w:szCs w:val="28"/>
        </w:rPr>
      </w:pPr>
      <w:bookmarkStart w:id="29" w:name="_Toc497394765"/>
      <w:bookmarkStart w:id="30" w:name="_Toc516756422"/>
      <w:r>
        <w:rPr>
          <w:rFonts w:hint="eastAsia" w:ascii="楷体" w:hAnsi="楷体" w:eastAsia="楷体"/>
          <w:sz w:val="28"/>
          <w:szCs w:val="28"/>
        </w:rPr>
        <w:t>4.1资产处置功能概述</w:t>
      </w:r>
      <w:bookmarkEnd w:id="29"/>
      <w:bookmarkEnd w:id="30"/>
    </w:p>
    <w:p>
      <w:pPr>
        <w:pStyle w:val="19"/>
        <w:spacing w:line="360" w:lineRule="auto"/>
        <w:ind w:firstLineChars="0"/>
        <w:rPr>
          <w:lang w:val="zh-CN"/>
        </w:rPr>
      </w:pPr>
      <w:r>
        <w:rPr>
          <w:rFonts w:hint="eastAsia"/>
          <w:lang w:val="zh-CN"/>
        </w:rPr>
        <w:t>资产处置申请是指基层单位有资产需要进行处置时，包括无偿调拨（划转、转让）、对外捐赠、出售/出让/转让、置换、报废报损、核销，需要进行事项申请的过程。</w:t>
      </w:r>
    </w:p>
    <w:p>
      <w:pPr>
        <w:pStyle w:val="3"/>
        <w:rPr>
          <w:rFonts w:ascii="楷体" w:hAnsi="楷体" w:eastAsia="楷体"/>
          <w:sz w:val="28"/>
          <w:szCs w:val="28"/>
        </w:rPr>
      </w:pPr>
      <w:bookmarkStart w:id="31" w:name="_Toc497394766"/>
      <w:bookmarkStart w:id="32" w:name="_Toc516756423"/>
      <w:r>
        <w:rPr>
          <w:rFonts w:hint="eastAsia" w:ascii="楷体" w:hAnsi="楷体" w:eastAsia="楷体"/>
          <w:sz w:val="28"/>
          <w:szCs w:val="28"/>
        </w:rPr>
        <w:t>4.2资产处置操作步骤</w:t>
      </w:r>
      <w:bookmarkEnd w:id="31"/>
      <w:bookmarkEnd w:id="32"/>
    </w:p>
    <w:p>
      <w:pPr>
        <w:pStyle w:val="19"/>
        <w:spacing w:line="360" w:lineRule="auto"/>
        <w:ind w:firstLineChars="0"/>
      </w:pPr>
      <w:r>
        <w:rPr>
          <w:rFonts w:hint="eastAsia"/>
        </w:rPr>
        <w:t>资产处置需经过校内资产处置申请—校内资产处置审批（校内的资产管理员操作）—资产处置执行</w:t>
      </w:r>
    </w:p>
    <w:p>
      <w:pPr>
        <w:pStyle w:val="4"/>
        <w:rPr>
          <w:rFonts w:ascii="楷体" w:hAnsi="楷体" w:eastAsia="楷体"/>
          <w:sz w:val="24"/>
          <w:szCs w:val="24"/>
        </w:rPr>
      </w:pPr>
      <w:bookmarkStart w:id="33" w:name="_Toc497394767"/>
      <w:bookmarkStart w:id="34" w:name="_Toc516756424"/>
      <w:r>
        <w:rPr>
          <w:rFonts w:hint="eastAsia" w:ascii="楷体" w:hAnsi="楷体" w:eastAsia="楷体"/>
          <w:sz w:val="24"/>
          <w:szCs w:val="24"/>
        </w:rPr>
        <w:t>4.2.1校内资产处置申请</w:t>
      </w:r>
      <w:bookmarkEnd w:id="33"/>
      <w:bookmarkEnd w:id="34"/>
    </w:p>
    <w:p>
      <w:pPr>
        <w:pStyle w:val="19"/>
        <w:spacing w:line="360" w:lineRule="auto"/>
        <w:ind w:firstLineChars="0"/>
      </w:pPr>
      <w:r>
        <w:rPr>
          <w:rFonts w:hint="eastAsia"/>
        </w:rPr>
        <w:t>部门的资产管理员用户登录系统，点击</w:t>
      </w:r>
      <w:r>
        <w:rPr>
          <w:rStyle w:val="28"/>
          <w:rFonts w:hint="eastAsia"/>
        </w:rPr>
        <w:t>处置管理</w:t>
      </w:r>
      <w:r>
        <w:rPr>
          <w:rFonts w:hint="eastAsia"/>
        </w:rPr>
        <w:t>-</w:t>
      </w:r>
      <w:r>
        <w:rPr>
          <w:rStyle w:val="28"/>
          <w:rFonts w:hint="eastAsia"/>
        </w:rPr>
        <w:t>校内资产处置申请</w:t>
      </w:r>
      <w:r>
        <w:rPr>
          <w:rFonts w:hint="eastAsia"/>
        </w:rPr>
        <w:t>，进入校内资产处置申请功能，如图4-1。</w:t>
      </w:r>
    </w:p>
    <w:p>
      <w:pPr>
        <w:pStyle w:val="21"/>
        <w:ind w:firstLine="0"/>
      </w:pPr>
      <w:r>
        <w:drawing>
          <wp:inline distT="0" distB="0" distL="114300" distR="114300">
            <wp:extent cx="6015990" cy="2750820"/>
            <wp:effectExtent l="0" t="0" r="381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图4-1</w:t>
      </w:r>
    </w:p>
    <w:p>
      <w:pPr>
        <w:pStyle w:val="19"/>
        <w:spacing w:line="360" w:lineRule="auto"/>
        <w:ind w:firstLineChars="0"/>
      </w:pPr>
      <w:r>
        <w:rPr>
          <w:rFonts w:hint="eastAsia"/>
        </w:rPr>
        <w:t>点击</w:t>
      </w:r>
      <w:r>
        <w:rPr>
          <w:rStyle w:val="28"/>
          <w:rFonts w:hint="eastAsia"/>
        </w:rPr>
        <w:t>新建处置单</w:t>
      </w:r>
      <w:r>
        <w:rPr>
          <w:rFonts w:hint="eastAsia"/>
        </w:rPr>
        <w:t>，</w:t>
      </w:r>
      <w:r>
        <w:rPr>
          <w:rFonts w:hint="eastAsia"/>
          <w:b/>
          <w:color w:val="FF0000"/>
        </w:rPr>
        <w:t>选择处置部门</w:t>
      </w:r>
      <w:r>
        <w:rPr>
          <w:rFonts w:hint="eastAsia"/>
        </w:rPr>
        <w:t>，再点击</w:t>
      </w:r>
      <w:r>
        <w:rPr>
          <w:rStyle w:val="28"/>
          <w:rFonts w:hint="eastAsia"/>
        </w:rPr>
        <w:t>选择卡片</w:t>
      </w:r>
      <w:r>
        <w:rPr>
          <w:rFonts w:hint="eastAsia"/>
        </w:rPr>
        <w:t>，勾选要处置的资产</w:t>
      </w:r>
      <w:r>
        <w:rPr>
          <w:rFonts w:hint="eastAsia"/>
          <w:lang w:eastAsia="zh-CN"/>
        </w:rPr>
        <w:t>。</w:t>
      </w:r>
      <w:r>
        <w:rPr>
          <w:rFonts w:hint="eastAsia"/>
        </w:rPr>
        <w:t>完善单据信息后点击</w:t>
      </w:r>
      <w:r>
        <w:rPr>
          <w:rStyle w:val="28"/>
          <w:rFonts w:hint="eastAsia"/>
        </w:rPr>
        <w:t>保存</w:t>
      </w:r>
      <w:r>
        <w:rPr>
          <w:rFonts w:hint="eastAsia"/>
        </w:rPr>
        <w:t>，点击</w:t>
      </w:r>
      <w:r>
        <w:rPr>
          <w:rStyle w:val="28"/>
          <w:rFonts w:hint="eastAsia"/>
        </w:rPr>
        <w:t>提交</w:t>
      </w:r>
      <w:r>
        <w:rPr>
          <w:rFonts w:hint="eastAsia"/>
        </w:rPr>
        <w:t>，如图4-2。</w:t>
      </w:r>
    </w:p>
    <w:p>
      <w:pPr>
        <w:pStyle w:val="22"/>
        <w:ind w:firstLine="0"/>
      </w:pP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703580</wp:posOffset>
                </wp:positionV>
                <wp:extent cx="340995" cy="5715"/>
                <wp:effectExtent l="0" t="0" r="0" b="0"/>
                <wp:wrapNone/>
                <wp:docPr id="78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571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32" type="#_x0000_t32" style="position:absolute;left:0pt;margin-left:162.45pt;margin-top:55.4pt;height:0.45pt;width:26.85pt;z-index:251705344;mso-width-relative:page;mso-height-relative:page;" filled="f" stroked="t" coordsize="21600,21600" o:gfxdata="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PDuUXbAAAACwEA&#10;AA8AAAAAAAAAAQAgAAAAIgAAAGRycy9kb3ducmV2LnhtbFBLAQIUABQAAAAIAIdO4kCii0FX3gEA&#10;AJkDAAAOAAAAAAAAAAEAIAAAACoBAABkcnMvZTJvRG9jLnhtbFBLBQYAAAAABgAGAFkBAAB6BQAA&#10;AAA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692150</wp:posOffset>
                </wp:positionV>
                <wp:extent cx="281305" cy="90805"/>
                <wp:effectExtent l="0" t="0" r="4445" b="4445"/>
                <wp:wrapNone/>
                <wp:docPr id="7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162.45pt;margin-top:54.5pt;height:7.15pt;width:22.15pt;z-index:251704320;mso-width-relative:page;mso-height-relative:page;" fillcolor="#FFFFFF" filled="t" stroked="f" coordsize="21600,21600" o:gfxdata="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d3a2X9cAAAALAQAADwAAAAAAAAABACAA&#10;AAAiAAAAZHJzL2Rvd25yZXYueG1sUEsBAhQAFAAAAAgAh07iQPfQEUucAQAAGgMAAA4AAAAAAAAA&#10;AQAgAAAAJgEAAGRycy9lMm9Eb2MueG1sUEsFBgAAAAAGAAYAWQEAAD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709295</wp:posOffset>
                </wp:positionV>
                <wp:extent cx="281305" cy="90805"/>
                <wp:effectExtent l="0" t="0" r="4445" b="4445"/>
                <wp:wrapNone/>
                <wp:docPr id="75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0" o:spid="_x0000_s1026" o:spt="1" style="position:absolute;left:0pt;margin-left:295pt;margin-top:55.85pt;height:7.15pt;width:22.15pt;z-index:251703296;mso-width-relative:page;mso-height-relative:page;" fillcolor="#FFFFFF" filled="t" stroked="f" coordsize="21600,21600" o:gfxdata="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nxMfV2AAAAAsBAAAPAAAAAAAAAAEAIAAA&#10;ACIAAABkcnMvZG93bnJldi54bWxQSwECFAAUAAAACACHTuJA7rKFupoBAAAaAwAADgAAAAAAAAAB&#10;ACAAAAAnAQAAZHJzL2Uyb0RvYy54bWxQSwUGAAAAAAYABgBZAQAAM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2134235</wp:posOffset>
                </wp:positionH>
                <wp:positionV relativeFrom="paragraph">
                  <wp:posOffset>2198370</wp:posOffset>
                </wp:positionV>
                <wp:extent cx="269875" cy="90805"/>
                <wp:effectExtent l="0" t="0" r="15875" b="4445"/>
                <wp:wrapNone/>
                <wp:docPr id="80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168.05pt;margin-top:173.1pt;height:7.15pt;width:21.25pt;z-index:251689984;mso-width-relative:page;mso-height-relative:page;" fillcolor="#FFFFFF" filled="t" stroked="f" coordsize="21600,21600" o:gfxdata="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C48MrDYAAAACwEAAA8AAAAAAAAAAQAg&#10;AAAAIgAAAGRycy9kb3ducmV2LnhtbFBLAQIUABQAAAAIAIdO4kAIUGxcnAEAABoDAAAOAAAAAAAA&#10;AAEAIAAAACcBAABkcnMvZTJvRG9jLnhtbFBLBQYAAAAABgAGAFkBAAA1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021070" cy="2359660"/>
            <wp:effectExtent l="0" t="0" r="17780" b="254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图4-2</w:t>
      </w:r>
    </w:p>
    <w:p>
      <w:pPr>
        <w:jc w:val="center"/>
        <w:rPr>
          <w:rFonts w:hint="eastAsia" w:ascii="宋体" w:hAnsi="宋体"/>
          <w:sz w:val="18"/>
          <w:szCs w:val="18"/>
        </w:rPr>
      </w:pPr>
    </w:p>
    <w:p>
      <w:pPr>
        <w:jc w:val="left"/>
      </w:pPr>
      <w:r>
        <w:rPr>
          <w:rFonts w:hint="eastAsia"/>
        </w:rPr>
        <w:t>提交以后需要等相关负责人审核，审核流程可以通过【流程监控】查看，如图4-3。</w:t>
      </w:r>
    </w:p>
    <w:p>
      <w:pPr>
        <w:jc w:val="center"/>
      </w:pPr>
      <w:r>
        <w:drawing>
          <wp:inline distT="0" distB="0" distL="114300" distR="114300">
            <wp:extent cx="6022340" cy="3061335"/>
            <wp:effectExtent l="0" t="0" r="16510" b="57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图4-3</w:t>
      </w:r>
    </w:p>
    <w:p>
      <w:pPr>
        <w:jc w:val="center"/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处置审核，在资产科审核时，由资产科点击</w:t>
      </w:r>
      <w:r>
        <w:rPr>
          <w:rStyle w:val="28"/>
          <w:rFonts w:hint="eastAsia" w:ascii="Arial"/>
          <w:lang w:val="en-US" w:eastAsia="zh-CN"/>
        </w:rPr>
        <w:t>附件</w:t>
      </w:r>
      <w:r>
        <w:rPr>
          <w:rFonts w:hint="eastAsia"/>
          <w:lang w:val="en-US" w:eastAsia="zh-CN"/>
        </w:rPr>
        <w:t>按钮上传处置纸质件（报废认定纸质件）到附件里面：如图4-4所示：</w:t>
      </w:r>
    </w:p>
    <w:p>
      <w:pPr>
        <w:jc w:val="both"/>
      </w:pPr>
      <w:r>
        <w:drawing>
          <wp:inline distT="0" distB="0" distL="114300" distR="114300">
            <wp:extent cx="6029325" cy="2978150"/>
            <wp:effectExtent l="0" t="0" r="9525" b="1270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0" w:firstLineChars="2000"/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图4-4</w:t>
      </w:r>
    </w:p>
    <w:p>
      <w:pPr>
        <w:pStyle w:val="2"/>
        <w:rPr>
          <w:rFonts w:ascii="宋体" w:hAnsi="宋体"/>
          <w:sz w:val="36"/>
          <w:szCs w:val="36"/>
        </w:rPr>
      </w:pPr>
      <w:bookmarkStart w:id="35" w:name="_Toc516756425"/>
      <w:bookmarkStart w:id="36" w:name="_Toc497394772"/>
      <w:r>
        <w:rPr>
          <w:rFonts w:hint="eastAsia" w:ascii="宋体" w:hAnsi="宋体"/>
          <w:sz w:val="36"/>
          <w:szCs w:val="36"/>
        </w:rPr>
        <w:t>五、卡片变动</w:t>
      </w:r>
      <w:bookmarkEnd w:id="35"/>
      <w:bookmarkEnd w:id="36"/>
    </w:p>
    <w:p>
      <w:pPr>
        <w:pStyle w:val="6"/>
        <w:spacing w:before="156" w:after="156"/>
        <w:ind w:left="0" w:firstLine="0" w:firstLineChars="0"/>
        <w:rPr>
          <w:b/>
          <w:bCs/>
        </w:rPr>
      </w:pPr>
      <w:r>
        <w:rPr>
          <w:rFonts w:hint="eastAsia"/>
          <w:bCs/>
        </w:rPr>
        <w:t>（正常发生业务导致卡片信息有变动用此功能，录入错误纠正使用</w:t>
      </w:r>
      <w:r>
        <w:rPr>
          <w:rFonts w:hint="eastAsia"/>
          <w:b/>
          <w:bCs/>
        </w:rPr>
        <w:t>资产卡片纠错</w:t>
      </w:r>
      <w:r>
        <w:rPr>
          <w:rFonts w:hint="eastAsia"/>
          <w:bCs/>
        </w:rPr>
        <w:t>功能）</w:t>
      </w:r>
    </w:p>
    <w:p>
      <w:pPr>
        <w:pStyle w:val="3"/>
        <w:rPr>
          <w:rFonts w:ascii="楷体" w:hAnsi="楷体" w:eastAsia="楷体"/>
          <w:sz w:val="28"/>
          <w:szCs w:val="28"/>
        </w:rPr>
      </w:pPr>
      <w:bookmarkStart w:id="37" w:name="_Toc516756426"/>
      <w:bookmarkStart w:id="38" w:name="_Toc497394773"/>
      <w:r>
        <w:rPr>
          <w:rFonts w:hint="eastAsia" w:ascii="楷体" w:hAnsi="楷体" w:eastAsia="楷体"/>
          <w:sz w:val="28"/>
          <w:szCs w:val="28"/>
        </w:rPr>
        <w:t>5.1</w:t>
      </w:r>
      <w:r>
        <w:rPr>
          <w:rFonts w:ascii="楷体" w:hAnsi="楷体" w:eastAsia="楷体"/>
          <w:sz w:val="28"/>
          <w:szCs w:val="28"/>
        </w:rPr>
        <w:t>一般信息变</w:t>
      </w:r>
      <w:r>
        <w:rPr>
          <w:rFonts w:hint="eastAsia" w:ascii="楷体" w:hAnsi="楷体" w:eastAsia="楷体"/>
          <w:sz w:val="28"/>
          <w:szCs w:val="28"/>
        </w:rPr>
        <w:t>动功能概述</w:t>
      </w:r>
      <w:bookmarkEnd w:id="37"/>
      <w:bookmarkEnd w:id="38"/>
    </w:p>
    <w:p>
      <w:pPr>
        <w:pStyle w:val="19"/>
        <w:spacing w:line="360" w:lineRule="auto"/>
        <w:ind w:firstLineChars="0"/>
        <w:rPr>
          <w:rFonts w:ascii="宋体" w:hAnsi="宋体"/>
        </w:rPr>
      </w:pPr>
      <w:r>
        <w:rPr>
          <w:rFonts w:hint="eastAsia" w:ascii="宋体" w:hAnsi="宋体"/>
        </w:rPr>
        <w:t>如果资产的一般信息发生变动，例如资产名称，使用状况等发生变化，可以通过资产信息变动来实现此功能。资产变动只能针对不能修改的资产进行信息变动，资产信息变动后会留下历史记录。</w:t>
      </w:r>
    </w:p>
    <w:p>
      <w:pPr>
        <w:pStyle w:val="3"/>
        <w:rPr>
          <w:rFonts w:ascii="楷体" w:hAnsi="楷体" w:eastAsia="楷体"/>
          <w:sz w:val="28"/>
          <w:szCs w:val="28"/>
        </w:rPr>
      </w:pPr>
      <w:bookmarkStart w:id="39" w:name="_Toc516756427"/>
      <w:bookmarkStart w:id="40" w:name="_Toc497394774"/>
      <w:r>
        <w:rPr>
          <w:rFonts w:hint="eastAsia" w:ascii="楷体" w:hAnsi="楷体" w:eastAsia="楷体"/>
          <w:sz w:val="28"/>
          <w:szCs w:val="28"/>
        </w:rPr>
        <w:t>5.2</w:t>
      </w:r>
      <w:r>
        <w:rPr>
          <w:rFonts w:ascii="楷体" w:hAnsi="楷体" w:eastAsia="楷体"/>
          <w:sz w:val="28"/>
          <w:szCs w:val="28"/>
        </w:rPr>
        <w:t>一般信息变</w:t>
      </w:r>
      <w:r>
        <w:rPr>
          <w:rFonts w:hint="eastAsia" w:ascii="楷体" w:hAnsi="楷体" w:eastAsia="楷体"/>
          <w:sz w:val="28"/>
          <w:szCs w:val="28"/>
        </w:rPr>
        <w:t>动功能操作步骤</w:t>
      </w:r>
      <w:bookmarkEnd w:id="39"/>
      <w:bookmarkEnd w:id="40"/>
    </w:p>
    <w:p>
      <w:pPr>
        <w:pStyle w:val="19"/>
        <w:spacing w:line="360" w:lineRule="auto"/>
        <w:ind w:firstLineChars="0"/>
      </w:pPr>
      <w:r>
        <w:rPr>
          <w:rFonts w:hint="eastAsia" w:hAnsi="宋体"/>
        </w:rPr>
        <w:t>基层单位登录系统，依次点击</w:t>
      </w:r>
      <w:r>
        <w:rPr>
          <w:rStyle w:val="28"/>
          <w:rFonts w:hint="eastAsia" w:ascii="Arial"/>
        </w:rPr>
        <w:t>日常管理</w:t>
      </w:r>
      <w:r>
        <w:rPr>
          <w:rFonts w:hint="eastAsia" w:ascii="宋体" w:hAnsi="宋体"/>
        </w:rPr>
        <w:t>--</w:t>
      </w:r>
      <w:r>
        <w:rPr>
          <w:rStyle w:val="28"/>
          <w:rFonts w:hint="eastAsia" w:ascii="Arial"/>
        </w:rPr>
        <w:t>一般信息变动</w:t>
      </w:r>
      <w:r>
        <w:rPr>
          <w:rFonts w:hint="eastAsia"/>
        </w:rPr>
        <w:t>，进入一般信息变动功能，如图5-1</w:t>
      </w:r>
    </w:p>
    <w:p>
      <w:pPr>
        <w:pStyle w:val="21"/>
        <w:ind w:firstLine="0"/>
      </w:pPr>
      <w:r>
        <w:drawing>
          <wp:inline distT="0" distB="0" distL="114300" distR="114300">
            <wp:extent cx="6031230" cy="2771775"/>
            <wp:effectExtent l="0" t="0" r="762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图5-1</w:t>
      </w:r>
    </w:p>
    <w:p>
      <w:pPr>
        <w:pStyle w:val="19"/>
        <w:spacing w:line="360" w:lineRule="auto"/>
        <w:ind w:firstLineChars="0"/>
      </w:pPr>
      <w:r>
        <w:rPr>
          <w:rFonts w:hint="eastAsia" w:hAnsi="宋体"/>
        </w:rPr>
        <w:t>点击</w:t>
      </w:r>
      <w:r>
        <w:rPr>
          <w:rStyle w:val="28"/>
          <w:rFonts w:hint="eastAsia"/>
        </w:rPr>
        <w:t>新建变动单</w:t>
      </w:r>
      <w:r>
        <w:rPr>
          <w:rFonts w:hint="eastAsia" w:hAnsi="宋体"/>
        </w:rPr>
        <w:t>，进入选择卡片界面，勾选卡片后，点击</w:t>
      </w:r>
      <w:r>
        <w:rPr>
          <w:rStyle w:val="28"/>
          <w:rFonts w:hint="eastAsia"/>
        </w:rPr>
        <w:t>下一步</w:t>
      </w:r>
      <w:r>
        <w:rPr>
          <w:rFonts w:hint="eastAsia" w:hAnsi="宋体"/>
        </w:rPr>
        <w:t>，如图5-2。</w:t>
      </w:r>
    </w:p>
    <w:p>
      <w:pPr>
        <w:pStyle w:val="21"/>
        <w:ind w:firstLine="0"/>
      </w:pP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2875280</wp:posOffset>
                </wp:positionV>
                <wp:extent cx="111125" cy="90805"/>
                <wp:effectExtent l="0" t="0" r="3175" b="4445"/>
                <wp:wrapNone/>
                <wp:docPr id="122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9080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9" o:spid="_x0000_s1026" o:spt="1" style="position:absolute;left:0pt;margin-left:14.85pt;margin-top:226.4pt;height:7.15pt;width:8.75pt;z-index:251747328;mso-width-relative:page;mso-height-relative:page;" fillcolor="#E7E6E6" filled="t" stroked="f" coordsize="21600,21600" o:gfxdata="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f4AHf2QAAAAkBAAAPAAAAAAAA&#10;AAEAIAAAACIAAABkcnMvZG93bnJldi54bWxQSwECFAAUAAAACACHTuJAsx5Typ8BAAAbAwAADgAA&#10;AAAAAAABACAAAAAoAQAAZHJzL2Uyb0RvYy54bWxQSwUGAAAAAAYABgBZAQAAO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031230" cy="2863215"/>
            <wp:effectExtent l="0" t="0" r="7620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图5-2</w:t>
      </w:r>
    </w:p>
    <w:p>
      <w:pPr>
        <w:pStyle w:val="19"/>
        <w:spacing w:line="360" w:lineRule="auto"/>
        <w:ind w:firstLineChars="0"/>
      </w:pPr>
      <w:r>
        <w:rPr>
          <w:rFonts w:hint="eastAsia" w:hAnsi="宋体"/>
        </w:rPr>
        <w:t>进入批量编辑界面，在此界面中对所需修改数据进行修改，如图5-3。</w:t>
      </w:r>
    </w:p>
    <w:p>
      <w:pPr>
        <w:pStyle w:val="21"/>
        <w:ind w:firstLine="0"/>
      </w:pP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665480</wp:posOffset>
                </wp:positionV>
                <wp:extent cx="627380" cy="90805"/>
                <wp:effectExtent l="4445" t="4445" r="15875" b="19050"/>
                <wp:wrapNone/>
                <wp:docPr id="136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908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B4C6E7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268.15pt;margin-top:52.4pt;height:7.15pt;width:49.4pt;z-index:251782144;mso-width-relative:page;mso-height-relative:page;" fillcolor="#F2F2F2" filled="t" stroked="t" coordsize="21600,21600" o:gfxdata="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VKBTXXAAAA&#10;CwEAAA8AAAAAAAAAAQAgAAAAIgAAAGRycy9kb3ducmV2LnhtbFBLAQIUABQAAAAIAIdO4kAyr3wj&#10;5QEAANEDAAAOAAAAAAAAAAEAIAAAACYBAABkcnMvZTJvRG9jLnhtbFBLBQYAAAAABgAGAFkBAAB9&#10;BQAAAAA=&#10;">
                <v:fill on="t" focussize="0,0"/>
                <v:stroke color="#B4C6E7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832485</wp:posOffset>
                </wp:positionV>
                <wp:extent cx="627380" cy="90805"/>
                <wp:effectExtent l="4445" t="4445" r="15875" b="19050"/>
                <wp:wrapNone/>
                <wp:docPr id="144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908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B4C6E7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1" o:spid="_x0000_s1026" o:spt="1" style="position:absolute;left:0pt;margin-left:268.15pt;margin-top:65.55pt;height:7.15pt;width:49.4pt;z-index:251781120;mso-width-relative:page;mso-height-relative:page;" fillcolor="#F2F2F2" filled="t" stroked="t" coordsize="21600,21600" o:gfxdata="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LbbwzXAAAA&#10;CwEAAA8AAAAAAAAAAQAgAAAAIgAAAGRycy9kb3ducmV2LnhtbFBLAQIUABQAAAAIAIdO4kAA+CLN&#10;5QEAANEDAAAOAAAAAAAAAAEAIAAAACYBAABkcnMvZTJvRG9jLnhtbFBLBQYAAAAABgAGAFkBAAB9&#10;BQAAAAA=&#10;">
                <v:fill on="t" focussize="0,0"/>
                <v:stroke color="#B4C6E7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756285</wp:posOffset>
                </wp:positionV>
                <wp:extent cx="627380" cy="90805"/>
                <wp:effectExtent l="4445" t="4445" r="15875" b="19050"/>
                <wp:wrapNone/>
                <wp:docPr id="168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" cy="908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B4C6E7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2" o:spid="_x0000_s1026" o:spt="1" style="position:absolute;left:0pt;margin-left:268.2pt;margin-top:59.55pt;height:7.15pt;width:49.4pt;z-index:251780096;mso-width-relative:page;mso-height-relative:page;" fillcolor="#F2F2F2" filled="t" stroked="t" coordsize="21600,21600" o:gfxdata="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O4LbdgA&#10;AAALAQAADwAAAAAAAAABACAAAAAiAAAAZHJzL2Rvd25yZXYueG1sUEsBAhQAFAAAAAgAh07iQDS5&#10;hbHmAQAA0QMAAA4AAAAAAAAAAQAgAAAAJwEAAGRycy9lMm9Eb2MueG1sUEsFBgAAAAAGAAYAWQEA&#10;AH8FAAAAAA==&#10;">
                <v:fill on="t" focussize="0,0"/>
                <v:stroke color="#B4C6E7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527550" cy="2971165"/>
            <wp:effectExtent l="0" t="0" r="6350" b="635"/>
            <wp:docPr id="15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55"/>
                    <pic:cNvPicPr>
                      <a:picLocks noChangeAspect="1"/>
                    </pic:cNvPicPr>
                  </pic:nvPicPr>
                  <pic:blipFill>
                    <a:blip r:embed="rId28"/>
                    <a:srcRect l="12424" t="194" r="12054" b="-774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图5-3</w:t>
      </w:r>
    </w:p>
    <w:p>
      <w:pPr>
        <w:pStyle w:val="19"/>
        <w:spacing w:line="360" w:lineRule="auto"/>
        <w:ind w:firstLineChars="0"/>
      </w:pPr>
      <w:r>
        <w:rPr>
          <w:rFonts w:hint="eastAsia" w:hAnsi="宋体"/>
        </w:rPr>
        <w:t>修改完成，点击</w:t>
      </w:r>
      <w:r>
        <w:rPr>
          <w:rStyle w:val="28"/>
          <w:rFonts w:hint="eastAsia"/>
        </w:rPr>
        <w:t>下一步</w:t>
      </w:r>
      <w:r>
        <w:rPr>
          <w:rFonts w:hint="eastAsia" w:hAnsi="宋体"/>
        </w:rPr>
        <w:t>进入完成界面，</w:t>
      </w:r>
      <w:r>
        <w:rPr>
          <w:rFonts w:hint="eastAsia" w:hAnsi="宋体"/>
          <w:b/>
          <w:color w:val="FF0000"/>
        </w:rPr>
        <w:t>修改记账日期为实际发生日期</w:t>
      </w:r>
      <w:r>
        <w:rPr>
          <w:rFonts w:hint="eastAsia" w:hAnsi="宋体"/>
        </w:rPr>
        <w:t>，填写</w:t>
      </w:r>
      <w:r>
        <w:rPr>
          <w:rFonts w:hint="eastAsia" w:hAnsi="宋体"/>
          <w:b/>
          <w:color w:val="FF0000"/>
        </w:rPr>
        <w:t>变动原因</w:t>
      </w:r>
      <w:r>
        <w:rPr>
          <w:rFonts w:hint="eastAsia" w:hAnsi="宋体"/>
        </w:rPr>
        <w:t>，点击</w:t>
      </w:r>
      <w:r>
        <w:rPr>
          <w:rStyle w:val="28"/>
          <w:rFonts w:hint="eastAsia"/>
        </w:rPr>
        <w:t>完成</w:t>
      </w:r>
      <w:r>
        <w:rPr>
          <w:rFonts w:hint="eastAsia" w:hAnsi="宋体"/>
        </w:rPr>
        <w:t>按钮，一般信息变动操作完成，如图5-4。</w:t>
      </w:r>
    </w:p>
    <w:p>
      <w:pPr>
        <w:pStyle w:val="6"/>
        <w:spacing w:before="156" w:after="156"/>
        <w:ind w:left="0"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2733675</wp:posOffset>
                </wp:positionV>
                <wp:extent cx="257810" cy="93980"/>
                <wp:effectExtent l="0" t="0" r="8890" b="1270"/>
                <wp:wrapNone/>
                <wp:docPr id="132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9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279.75pt;margin-top:215.25pt;height:7.4pt;width:20.3pt;z-index:251748352;mso-width-relative:page;mso-height-relative:page;" fillcolor="#FFFFFF" filled="t" stroked="f" coordsize="21600,21600" o:gfxdata="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OYvEs7XAAAACwEAAA8AAAAAAAAA&#10;AQAgAAAAIgAAAGRycy9kb3ducmV2LnhtbFBLAQIUABQAAAAIAIdO4kBOwh1qoAEAABsDAAAOAAAA&#10;AAAAAAEAIAAAACYBAABkcnMvZTJvRG9jLnhtbFBLBQYAAAAABgAGAFkBAAA4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621530" cy="2952750"/>
            <wp:effectExtent l="0" t="0" r="7620" b="0"/>
            <wp:docPr id="15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6"/>
                    <pic:cNvPicPr>
                      <a:picLocks noChangeAspect="1"/>
                    </pic:cNvPicPr>
                  </pic:nvPicPr>
                  <pic:blipFill>
                    <a:blip r:embed="rId29"/>
                    <a:srcRect l="12151" t="391" r="11806" b="-141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sz w:val="18"/>
          <w:szCs w:val="18"/>
        </w:rPr>
        <w:t>图5-4</w:t>
      </w:r>
    </w:p>
    <w:bookmarkEnd w:id="19"/>
    <w:bookmarkEnd w:id="20"/>
    <w:bookmarkEnd w:id="21"/>
    <w:p>
      <w:pPr>
        <w:jc w:val="center"/>
        <w:rPr>
          <w:rFonts w:ascii="宋体" w:hAnsi="宋体"/>
          <w:sz w:val="18"/>
          <w:szCs w:val="18"/>
        </w:rPr>
      </w:pPr>
    </w:p>
    <w:sectPr>
      <w:footerReference r:id="rId3" w:type="default"/>
      <w:pgSz w:w="11906" w:h="16838"/>
      <w:pgMar w:top="720" w:right="1274" w:bottom="720" w:left="1134" w:header="851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54152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1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30D"/>
    <w:rsid w:val="00012DAD"/>
    <w:rsid w:val="0002684E"/>
    <w:rsid w:val="000335CB"/>
    <w:rsid w:val="00033C55"/>
    <w:rsid w:val="000447F0"/>
    <w:rsid w:val="00060947"/>
    <w:rsid w:val="000820A4"/>
    <w:rsid w:val="000C313B"/>
    <w:rsid w:val="000D6163"/>
    <w:rsid w:val="00100504"/>
    <w:rsid w:val="00111509"/>
    <w:rsid w:val="00116883"/>
    <w:rsid w:val="001735AC"/>
    <w:rsid w:val="00190E60"/>
    <w:rsid w:val="0021288E"/>
    <w:rsid w:val="002322E3"/>
    <w:rsid w:val="00262436"/>
    <w:rsid w:val="00277E1C"/>
    <w:rsid w:val="002C0C68"/>
    <w:rsid w:val="002D0A32"/>
    <w:rsid w:val="002D3D89"/>
    <w:rsid w:val="002E3D9C"/>
    <w:rsid w:val="00314F87"/>
    <w:rsid w:val="00317871"/>
    <w:rsid w:val="00332857"/>
    <w:rsid w:val="00334D6B"/>
    <w:rsid w:val="003450F6"/>
    <w:rsid w:val="003572AD"/>
    <w:rsid w:val="00361F7F"/>
    <w:rsid w:val="00382BE2"/>
    <w:rsid w:val="003A06F1"/>
    <w:rsid w:val="003B012F"/>
    <w:rsid w:val="003B0CDF"/>
    <w:rsid w:val="003B4109"/>
    <w:rsid w:val="003C40C9"/>
    <w:rsid w:val="003F2A1E"/>
    <w:rsid w:val="003F6F3D"/>
    <w:rsid w:val="00400456"/>
    <w:rsid w:val="004157BE"/>
    <w:rsid w:val="00420785"/>
    <w:rsid w:val="004506A9"/>
    <w:rsid w:val="004545EA"/>
    <w:rsid w:val="004A704C"/>
    <w:rsid w:val="004B67B1"/>
    <w:rsid w:val="004D0E75"/>
    <w:rsid w:val="004E5611"/>
    <w:rsid w:val="0051152D"/>
    <w:rsid w:val="00550911"/>
    <w:rsid w:val="00560895"/>
    <w:rsid w:val="005A75AA"/>
    <w:rsid w:val="005F70D1"/>
    <w:rsid w:val="0060217A"/>
    <w:rsid w:val="00610F0B"/>
    <w:rsid w:val="0063105D"/>
    <w:rsid w:val="006A030D"/>
    <w:rsid w:val="006A78D5"/>
    <w:rsid w:val="006E040A"/>
    <w:rsid w:val="006E7EAE"/>
    <w:rsid w:val="00704257"/>
    <w:rsid w:val="00710F87"/>
    <w:rsid w:val="00711590"/>
    <w:rsid w:val="00723B72"/>
    <w:rsid w:val="00730875"/>
    <w:rsid w:val="00757D9C"/>
    <w:rsid w:val="00761141"/>
    <w:rsid w:val="00766DC3"/>
    <w:rsid w:val="00785363"/>
    <w:rsid w:val="007902B2"/>
    <w:rsid w:val="007915F4"/>
    <w:rsid w:val="007D5D6C"/>
    <w:rsid w:val="007D64EC"/>
    <w:rsid w:val="007F5F01"/>
    <w:rsid w:val="00804A64"/>
    <w:rsid w:val="00865B8D"/>
    <w:rsid w:val="00874AE4"/>
    <w:rsid w:val="00896EEA"/>
    <w:rsid w:val="008A4DB5"/>
    <w:rsid w:val="008C006F"/>
    <w:rsid w:val="008E2A2E"/>
    <w:rsid w:val="008F474A"/>
    <w:rsid w:val="008F7861"/>
    <w:rsid w:val="008F7D58"/>
    <w:rsid w:val="00915882"/>
    <w:rsid w:val="00921668"/>
    <w:rsid w:val="009336C2"/>
    <w:rsid w:val="00947175"/>
    <w:rsid w:val="009725BB"/>
    <w:rsid w:val="009966C8"/>
    <w:rsid w:val="00A0434D"/>
    <w:rsid w:val="00A11B2B"/>
    <w:rsid w:val="00A26D0C"/>
    <w:rsid w:val="00A34493"/>
    <w:rsid w:val="00A82A27"/>
    <w:rsid w:val="00AC3352"/>
    <w:rsid w:val="00AD6B21"/>
    <w:rsid w:val="00AE51FD"/>
    <w:rsid w:val="00AF1B3E"/>
    <w:rsid w:val="00B1792D"/>
    <w:rsid w:val="00B33A6B"/>
    <w:rsid w:val="00B738E3"/>
    <w:rsid w:val="00BB0ACE"/>
    <w:rsid w:val="00BB7972"/>
    <w:rsid w:val="00BC42CC"/>
    <w:rsid w:val="00BD4E6C"/>
    <w:rsid w:val="00BE45D5"/>
    <w:rsid w:val="00BE7242"/>
    <w:rsid w:val="00C0361C"/>
    <w:rsid w:val="00C14157"/>
    <w:rsid w:val="00C1485C"/>
    <w:rsid w:val="00C3448F"/>
    <w:rsid w:val="00C373B8"/>
    <w:rsid w:val="00C45361"/>
    <w:rsid w:val="00C74481"/>
    <w:rsid w:val="00C90FFC"/>
    <w:rsid w:val="00CF4892"/>
    <w:rsid w:val="00D02276"/>
    <w:rsid w:val="00D073C7"/>
    <w:rsid w:val="00D155CC"/>
    <w:rsid w:val="00D15EC6"/>
    <w:rsid w:val="00D3778B"/>
    <w:rsid w:val="00D7512C"/>
    <w:rsid w:val="00DC349D"/>
    <w:rsid w:val="00DE7C65"/>
    <w:rsid w:val="00E1544D"/>
    <w:rsid w:val="00E5514F"/>
    <w:rsid w:val="00E57C8F"/>
    <w:rsid w:val="00EB061A"/>
    <w:rsid w:val="00EC3E88"/>
    <w:rsid w:val="00EC50C0"/>
    <w:rsid w:val="00EF5E29"/>
    <w:rsid w:val="00EF7F38"/>
    <w:rsid w:val="00F0140E"/>
    <w:rsid w:val="00F0420C"/>
    <w:rsid w:val="00F34268"/>
    <w:rsid w:val="00F41B60"/>
    <w:rsid w:val="00F5559E"/>
    <w:rsid w:val="00F571DB"/>
    <w:rsid w:val="00F61580"/>
    <w:rsid w:val="00FB4D34"/>
    <w:rsid w:val="00FB7D9E"/>
    <w:rsid w:val="010D75F4"/>
    <w:rsid w:val="027B5BEE"/>
    <w:rsid w:val="02F318B1"/>
    <w:rsid w:val="076F4B13"/>
    <w:rsid w:val="09955EE4"/>
    <w:rsid w:val="09A53313"/>
    <w:rsid w:val="0B1E4AAC"/>
    <w:rsid w:val="0E11073F"/>
    <w:rsid w:val="0E65204A"/>
    <w:rsid w:val="0FDE6619"/>
    <w:rsid w:val="11AF7321"/>
    <w:rsid w:val="145C2694"/>
    <w:rsid w:val="15637A8B"/>
    <w:rsid w:val="16AD48AA"/>
    <w:rsid w:val="18EE62C8"/>
    <w:rsid w:val="1B6033B9"/>
    <w:rsid w:val="1BAE762F"/>
    <w:rsid w:val="1BCF4D47"/>
    <w:rsid w:val="1CE16362"/>
    <w:rsid w:val="1E0D404B"/>
    <w:rsid w:val="1F9E1D10"/>
    <w:rsid w:val="22124916"/>
    <w:rsid w:val="24D231B4"/>
    <w:rsid w:val="24EC7226"/>
    <w:rsid w:val="25574B47"/>
    <w:rsid w:val="2655476D"/>
    <w:rsid w:val="28E82543"/>
    <w:rsid w:val="29797B7B"/>
    <w:rsid w:val="2B415807"/>
    <w:rsid w:val="2F303BFA"/>
    <w:rsid w:val="2F6865DB"/>
    <w:rsid w:val="30A37278"/>
    <w:rsid w:val="31CA076D"/>
    <w:rsid w:val="32547B4E"/>
    <w:rsid w:val="32AB6B32"/>
    <w:rsid w:val="345747BD"/>
    <w:rsid w:val="35B64E7F"/>
    <w:rsid w:val="368F0683"/>
    <w:rsid w:val="38DF7F7C"/>
    <w:rsid w:val="3EF53157"/>
    <w:rsid w:val="3F8D4AD2"/>
    <w:rsid w:val="416E6F86"/>
    <w:rsid w:val="4179071B"/>
    <w:rsid w:val="426B3E9D"/>
    <w:rsid w:val="46273FEB"/>
    <w:rsid w:val="46CB43A7"/>
    <w:rsid w:val="47B926C8"/>
    <w:rsid w:val="488F2FFD"/>
    <w:rsid w:val="48B126A0"/>
    <w:rsid w:val="4A1C4280"/>
    <w:rsid w:val="4B82653A"/>
    <w:rsid w:val="4DC73A34"/>
    <w:rsid w:val="4EB73024"/>
    <w:rsid w:val="508E463F"/>
    <w:rsid w:val="51FF5093"/>
    <w:rsid w:val="540F0114"/>
    <w:rsid w:val="5967371E"/>
    <w:rsid w:val="5B890B84"/>
    <w:rsid w:val="5BEB4100"/>
    <w:rsid w:val="5C7510DE"/>
    <w:rsid w:val="5C932929"/>
    <w:rsid w:val="5D4F28EE"/>
    <w:rsid w:val="5DA50C74"/>
    <w:rsid w:val="5E3F281C"/>
    <w:rsid w:val="5ED9178C"/>
    <w:rsid w:val="5F063B69"/>
    <w:rsid w:val="63CE11CC"/>
    <w:rsid w:val="64541FB4"/>
    <w:rsid w:val="64ED30DA"/>
    <w:rsid w:val="65AF5827"/>
    <w:rsid w:val="6672388E"/>
    <w:rsid w:val="668C610A"/>
    <w:rsid w:val="69287B27"/>
    <w:rsid w:val="74872288"/>
    <w:rsid w:val="7AE16B37"/>
    <w:rsid w:val="7DE20FB2"/>
    <w:rsid w:val="7F7D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iPriority="99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qFormat/>
    <w:uiPriority w:val="99"/>
    <w:pPr>
      <w:keepNext/>
      <w:keepLines/>
      <w:spacing w:before="260" w:after="260" w:line="412" w:lineRule="auto"/>
      <w:ind w:left="992" w:hanging="992"/>
      <w:jc w:val="left"/>
      <w:outlineLvl w:val="1"/>
    </w:pPr>
    <w:rPr>
      <w:rFonts w:ascii="Arial" w:hAnsi="Arial" w:eastAsia="楷体_GB2312" w:cs="Times New Roman"/>
      <w:b/>
      <w:bCs/>
      <w:sz w:val="30"/>
      <w:szCs w:val="30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Number 2"/>
    <w:basedOn w:val="1"/>
    <w:unhideWhenUsed/>
    <w:qFormat/>
    <w:uiPriority w:val="99"/>
    <w:pPr>
      <w:widowControl/>
      <w:spacing w:beforeLines="50" w:afterLines="50" w:line="300" w:lineRule="auto"/>
      <w:ind w:left="786" w:hanging="360" w:firstLineChars="200"/>
      <w:contextualSpacing/>
      <w:jc w:val="left"/>
    </w:pPr>
    <w:rPr>
      <w:rFonts w:ascii="宋体" w:hAnsi="Arial" w:eastAsia="宋体" w:cs="Times New Roman"/>
      <w:szCs w:val="21"/>
    </w:rPr>
  </w:style>
  <w:style w:type="paragraph" w:styleId="7">
    <w:name w:val="Document Map"/>
    <w:basedOn w:val="1"/>
    <w:link w:val="36"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9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16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批注框文本 Char"/>
    <w:basedOn w:val="15"/>
    <w:link w:val="9"/>
    <w:semiHidden/>
    <w:qFormat/>
    <w:uiPriority w:val="99"/>
    <w:rPr>
      <w:sz w:val="18"/>
      <w:szCs w:val="18"/>
    </w:rPr>
  </w:style>
  <w:style w:type="paragraph" w:customStyle="1" w:styleId="19">
    <w:name w:val="列出段落1"/>
    <w:basedOn w:val="1"/>
    <w:qFormat/>
    <w:uiPriority w:val="0"/>
    <w:pPr>
      <w:ind w:firstLine="420" w:firstLineChars="200"/>
    </w:pPr>
  </w:style>
  <w:style w:type="character" w:customStyle="1" w:styleId="20">
    <w:name w:val="15"/>
    <w:basedOn w:val="15"/>
    <w:qFormat/>
    <w:uiPriority w:val="0"/>
    <w:rPr>
      <w:rFonts w:hint="default" w:ascii="Times New Roman" w:hAnsi="Times New Roman" w:eastAsia="宋体" w:cs="Times New Roman"/>
      <w:sz w:val="21"/>
      <w:szCs w:val="21"/>
      <w:shd w:val="clear" w:color="auto" w:fill="CCCCCC"/>
    </w:rPr>
  </w:style>
  <w:style w:type="paragraph" w:customStyle="1" w:styleId="21">
    <w:name w:val="jq4图片"/>
    <w:basedOn w:val="1"/>
    <w:next w:val="22"/>
    <w:link w:val="37"/>
    <w:qFormat/>
    <w:uiPriority w:val="0"/>
    <w:pPr>
      <w:widowControl/>
      <w:spacing w:before="50" w:after="50" w:line="300" w:lineRule="auto"/>
      <w:ind w:firstLine="200"/>
      <w:jc w:val="center"/>
    </w:pPr>
    <w:rPr>
      <w:rFonts w:ascii="Arial" w:hAnsi="Arial" w:eastAsia="宋体" w:cs="Times New Roman"/>
      <w:szCs w:val="21"/>
    </w:rPr>
  </w:style>
  <w:style w:type="paragraph" w:customStyle="1" w:styleId="22">
    <w:name w:val="jq4图片注释"/>
    <w:basedOn w:val="1"/>
    <w:next w:val="1"/>
    <w:qFormat/>
    <w:uiPriority w:val="0"/>
    <w:pPr>
      <w:widowControl/>
      <w:spacing w:before="20" w:after="50" w:line="300" w:lineRule="auto"/>
      <w:ind w:firstLine="20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customStyle="1" w:styleId="23">
    <w:name w:val="jq30注意"/>
    <w:basedOn w:val="1"/>
    <w:next w:val="1"/>
    <w:qFormat/>
    <w:uiPriority w:val="0"/>
    <w:pPr>
      <w:widowControl/>
      <w:pBdr>
        <w:top w:val="single" w:color="auto" w:sz="4" w:space="1"/>
        <w:left w:val="single" w:color="auto" w:sz="4" w:space="0"/>
        <w:bottom w:val="single" w:color="auto" w:sz="4" w:space="1"/>
        <w:right w:val="single" w:color="auto" w:sz="4" w:space="0"/>
      </w:pBdr>
      <w:spacing w:beforeLines="50" w:after="50" w:line="300" w:lineRule="auto"/>
      <w:ind w:left="845" w:hanging="420"/>
      <w:jc w:val="left"/>
    </w:pPr>
    <w:rPr>
      <w:rFonts w:ascii="Arial" w:hAnsi="Arial" w:eastAsia="仿宋_GB2312" w:cs="Times New Roman"/>
      <w:color w:val="000000"/>
      <w:szCs w:val="21"/>
    </w:rPr>
  </w:style>
  <w:style w:type="paragraph" w:customStyle="1" w:styleId="24">
    <w:name w:val="jq1小标题"/>
    <w:basedOn w:val="1"/>
    <w:next w:val="1"/>
    <w:qFormat/>
    <w:uiPriority w:val="0"/>
    <w:pPr>
      <w:widowControl/>
      <w:adjustRightInd w:val="0"/>
      <w:spacing w:beforeLines="50" w:after="50" w:line="300" w:lineRule="auto"/>
      <w:ind w:firstLine="200"/>
      <w:jc w:val="left"/>
    </w:pPr>
    <w:rPr>
      <w:rFonts w:ascii="Arial" w:hAnsi="Arial" w:eastAsia="宋体" w:cs="Times New Roman"/>
      <w:b/>
      <w:bCs/>
      <w:szCs w:val="21"/>
    </w:rPr>
  </w:style>
  <w:style w:type="character" w:customStyle="1" w:styleId="25">
    <w:name w:val="标题 2 Char"/>
    <w:basedOn w:val="15"/>
    <w:link w:val="3"/>
    <w:qFormat/>
    <w:uiPriority w:val="99"/>
    <w:rPr>
      <w:rFonts w:ascii="Arial" w:hAnsi="Arial" w:eastAsia="楷体_GB2312" w:cs="Times New Roman"/>
      <w:b/>
      <w:bCs/>
      <w:sz w:val="30"/>
      <w:szCs w:val="30"/>
    </w:rPr>
  </w:style>
  <w:style w:type="character" w:customStyle="1" w:styleId="26">
    <w:name w:val="页眉 Char"/>
    <w:basedOn w:val="15"/>
    <w:link w:val="11"/>
    <w:semiHidden/>
    <w:qFormat/>
    <w:uiPriority w:val="99"/>
    <w:rPr>
      <w:sz w:val="18"/>
      <w:szCs w:val="18"/>
    </w:rPr>
  </w:style>
  <w:style w:type="character" w:customStyle="1" w:styleId="27">
    <w:name w:val="页脚 Char"/>
    <w:basedOn w:val="15"/>
    <w:link w:val="10"/>
    <w:qFormat/>
    <w:uiPriority w:val="99"/>
    <w:rPr>
      <w:sz w:val="18"/>
      <w:szCs w:val="18"/>
    </w:rPr>
  </w:style>
  <w:style w:type="character" w:customStyle="1" w:styleId="28">
    <w:name w:val="jq3按钮"/>
    <w:qFormat/>
    <w:uiPriority w:val="0"/>
    <w:rPr>
      <w:rFonts w:eastAsia="宋体"/>
      <w:sz w:val="21"/>
      <w:szCs w:val="21"/>
      <w:bdr w:val="single" w:color="auto" w:sz="4" w:space="0"/>
      <w:shd w:val="clear" w:color="auto" w:fill="CCCCCC"/>
    </w:rPr>
  </w:style>
  <w:style w:type="paragraph" w:customStyle="1" w:styleId="29">
    <w:name w:val="列出段落2"/>
    <w:basedOn w:val="1"/>
    <w:unhideWhenUsed/>
    <w:qFormat/>
    <w:uiPriority w:val="99"/>
    <w:pPr>
      <w:ind w:firstLine="420" w:firstLineChars="200"/>
    </w:pPr>
  </w:style>
  <w:style w:type="paragraph" w:customStyle="1" w:styleId="30">
    <w:name w:val="列出段落3"/>
    <w:basedOn w:val="1"/>
    <w:unhideWhenUsed/>
    <w:qFormat/>
    <w:uiPriority w:val="99"/>
    <w:pPr>
      <w:ind w:firstLine="420" w:firstLineChars="200"/>
    </w:pPr>
  </w:style>
  <w:style w:type="character" w:customStyle="1" w:styleId="31">
    <w:name w:val="标题 1 Char"/>
    <w:basedOn w:val="1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2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3">
    <w:name w:val="不明显参考1"/>
    <w:basedOn w:val="15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34">
    <w:name w:val="标题 3 Char"/>
    <w:basedOn w:val="15"/>
    <w:link w:val="4"/>
    <w:qFormat/>
    <w:uiPriority w:val="9"/>
    <w:rPr>
      <w:b/>
      <w:bCs/>
      <w:kern w:val="2"/>
      <w:sz w:val="32"/>
      <w:szCs w:val="32"/>
    </w:rPr>
  </w:style>
  <w:style w:type="character" w:customStyle="1" w:styleId="35">
    <w:name w:val="标题 4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6">
    <w:name w:val="文档结构图 Char"/>
    <w:basedOn w:val="15"/>
    <w:link w:val="7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37">
    <w:name w:val="jq4图片 Char"/>
    <w:link w:val="21"/>
    <w:qFormat/>
    <w:uiPriority w:val="0"/>
    <w:rPr>
      <w:rFonts w:ascii="Arial" w:hAnsi="Arial" w:eastAsia="宋体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B285EF-BD98-4D5C-B2CE-A0092AF44A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13</Pages>
  <Words>518</Words>
  <Characters>2957</Characters>
  <Lines>24</Lines>
  <Paragraphs>6</Paragraphs>
  <TotalTime>0</TotalTime>
  <ScaleCrop>false</ScaleCrop>
  <LinksUpToDate>false</LinksUpToDate>
  <CharactersWithSpaces>3469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2016-10-14T07:43:00Z</dcterms:created>
  <dc:creator>永川区财政局汇总</dc:creator>
  <cp:lastModifiedBy>HP</cp:lastModifiedBy>
  <cp:lastPrinted>2016-10-14T08:15:00Z</cp:lastPrinted>
  <dcterms:modified xsi:type="dcterms:W3CDTF">2018-09-27T07:23:28Z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