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重庆工商大学“扫黑除恶校园行”主题宣传教育活动统计表</w:t>
      </w:r>
    </w:p>
    <w:p>
      <w:pPr>
        <w:adjustRightInd w:val="0"/>
        <w:snapToGrid w:val="0"/>
        <w:ind w:firstLine="640" w:firstLineChars="200"/>
        <w:rPr>
          <w:rFonts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二级单位：                   填报时间：   年   月  日</w:t>
      </w:r>
    </w:p>
    <w:tbl>
      <w:tblPr>
        <w:tblStyle w:val="9"/>
        <w:tblW w:w="16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417"/>
        <w:gridCol w:w="1559"/>
        <w:gridCol w:w="1609"/>
        <w:gridCol w:w="1368"/>
        <w:gridCol w:w="1320"/>
        <w:gridCol w:w="1468"/>
        <w:gridCol w:w="1468"/>
        <w:gridCol w:w="1468"/>
        <w:gridCol w:w="1468"/>
        <w:gridCol w:w="1468"/>
        <w:gridCol w:w="1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340" w:type="dxa"/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160" w:firstLineChars="5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活动时间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活动地点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活动内容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活动形式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参与人数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主办单位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340" w:type="dxa"/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340" w:type="dxa"/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340" w:type="dxa"/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340" w:type="dxa"/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7340" w:type="dxa"/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adjustRightInd w:val="0"/>
              <w:snapToGrid w:val="0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联系人：                       联系电话：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widowControl/>
        <w:shd w:val="clear" w:color="auto" w:fill="FFFFFF"/>
        <w:spacing w:afterLines="50" w:line="400" w:lineRule="exact"/>
        <w:jc w:val="left"/>
        <w:outlineLvl w:val="1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2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相关背景材料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为保障人民安居乐业、社会安定有序、国家长治久安，进一步巩固党的执政基础，党中央、国务院发出《关于开展扫黑除恶专项斗争的通知》，决定在全国开展扫黑除恶专项斗争。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这次全国开展的扫黑除恶专项斗争是党中央、国务院作出的重大决策部署，自2018年初（1月23日）开始，至2020年底结束，为期三年。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</w:rPr>
        <w:t>■</w:t>
      </w:r>
      <w:r>
        <w:rPr>
          <w:rFonts w:hint="eastAsia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全国扫黑除恶专项斗争分为三个阶段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1．2018年，取得初步战果，黑恶势力违法犯罪突出问题得到有效遏制，在全社会形成对黑恶势力人人喊打的浓厚氛围。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2．2019年，集中重点攻坚，对已侦破的案件寻线深挖，彻底铲除黑恶势力赖以滋生的土壤，人民群众安全感、满意度明显提升。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3．2020年，建立健全遏制黑恶势力滋生蔓延的长效机制，取得扫黑除恶专项斗争压倒性胜利。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</w:rPr>
        <w:t>■</w:t>
      </w:r>
      <w:r>
        <w:rPr>
          <w:rFonts w:hint="eastAsia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  <w:t>重点惩治12类涉黑涉恶势力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（一）威胁政治安全特别是政权安全、制度安全以及向政治领域渗透的黑恶势力；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（二）把持基层政权、操纵破坏基层换届选举、垄断农村资源、侵吞集体资产的黑恶势力；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（三）利用家族、宗族势力横行乡里、称霸一方、欺压残害百姓的“村霸”等黑恶势力；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（四）在征地、租地、拆迁、工程项目建设等过程中煽动闹事的黑恶势力；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（五）在建筑工程、交通运输、矿产资源、渔业捕捞等行业、领域，强揽工程、恶意竞标、非法占地、滥开滥采的黑恶势力；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（六）在商贸集市、批发市场、车站码头、旅游景区等场所欺行霸市、强买强卖、收保护费的市霸、行霸等黑恶势力；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（七）操纵、经营“黄赌毒”等违法犯罪活动的黑恶势力；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（八）非法高利放贷、暴力讨债，以及“套路贷”“校园贷”等涉及“软暴力”讨债的黑恶势力；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（九） 插手民间纠纷，充当“地下执法队”的“医闹”“房闹”等黑恶势力；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（十）境外黑社会入境发展渗透以及跨国跨境的黑恶势力；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（十一）组织或雇佣“网络水军”在网上威胁、恐吓、侮辱、诽谤、滋扰的黑恶势力；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（十二） 城区、城乡结合部盘踞一方的黑恶势力。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</w:rPr>
        <w:t>（前10类为全国统一确定的打击重点，后2类为我市结合两高两部《指导意见》和工作实际另行增加）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</w:rPr>
        <w:t>■</w:t>
      </w:r>
      <w:r>
        <w:rPr>
          <w:rFonts w:hint="eastAsia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  <w:t>重点打击“9+4”类违法犯罪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开始赌场、非法拘禁、故意毁坏财物、寻衅滋事、聚众斗殴、敲诈勒索、强迫卖淫、组织卖淫、强迫交易等9类涉恶类犯罪，以及故意伤害、聚众扰乱社会秩序、聚众扰乱公共秩序和聚众扰乱交通秩序等4类犯罪。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</w:rPr>
        <w:t>■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</w:rPr>
        <w:t>扫黑除恶工作的“六大目标”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一是“9+4”类案件发案下降；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二是线索核查条条有结论、事事有回音；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三是案件侦办质量、数量要有所提升；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四是治安乱点得到有效整治；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五是机制建设健全完善；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</w:rPr>
        <w:t>六是人民群众满意度上升。</w:t>
      </w:r>
    </w:p>
    <w:p>
      <w:pPr>
        <w:widowControl/>
        <w:shd w:val="clear" w:color="auto" w:fill="FFFFFF"/>
        <w:spacing w:afterLines="50" w:line="400" w:lineRule="exact"/>
        <w:jc w:val="left"/>
        <w:outlineLvl w:val="1"/>
        <w:rPr>
          <w:rFonts w:hint="eastAsia" w:ascii="小标宋" w:hAnsi="小标宋" w:eastAsia="小标宋" w:cs="小标宋"/>
          <w:b/>
          <w:bCs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773543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D07A6"/>
    <w:rsid w:val="006111C0"/>
    <w:rsid w:val="007D789D"/>
    <w:rsid w:val="00E51D34"/>
    <w:rsid w:val="06FB7218"/>
    <w:rsid w:val="070D3C7F"/>
    <w:rsid w:val="0DC04357"/>
    <w:rsid w:val="14CD07A6"/>
    <w:rsid w:val="161075EA"/>
    <w:rsid w:val="161A3797"/>
    <w:rsid w:val="1CB12656"/>
    <w:rsid w:val="2DDB0F83"/>
    <w:rsid w:val="333E1D7F"/>
    <w:rsid w:val="3B2F0407"/>
    <w:rsid w:val="45FB4B2C"/>
    <w:rsid w:val="520B5F97"/>
    <w:rsid w:val="647041FC"/>
    <w:rsid w:val="6C504351"/>
    <w:rsid w:val="6D535020"/>
    <w:rsid w:val="723712F6"/>
    <w:rsid w:val="796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  <w:rPr>
      <w:rFonts w:ascii="Tahoma" w:hAnsi="Tahoma" w:cs="Times New Roman"/>
      <w:kern w:val="2"/>
      <w:szCs w:val="20"/>
    </w:rPr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 Char Char Char"/>
    <w:basedOn w:val="1"/>
    <w:link w:val="6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character" w:styleId="8">
    <w:name w:val="page number"/>
    <w:basedOn w:val="6"/>
    <w:qFormat/>
    <w:uiPriority w:val="0"/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rPr>
      <w:szCs w:val="21"/>
    </w:rPr>
  </w:style>
  <w:style w:type="character" w:customStyle="1" w:styleId="13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5</Pages>
  <Words>2122</Words>
  <Characters>323</Characters>
  <Lines>2</Lines>
  <Paragraphs>4</Paragraphs>
  <TotalTime>13</TotalTime>
  <ScaleCrop>false</ScaleCrop>
  <LinksUpToDate>false</LinksUpToDate>
  <CharactersWithSpaces>2441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2018-10-12T07:56:00Z</dcterms:created>
  <dc:creator>钱忠坤</dc:creator>
  <cp:lastModifiedBy>疯窝窝</cp:lastModifiedBy>
  <cp:lastPrinted>2018-10-16T02:11:00Z</cp:lastPrinted>
  <dcterms:modified xsi:type="dcterms:W3CDTF">2018-10-16T08:46:40Z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